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24" w:rsidRDefault="00765C24" w:rsidP="00765C24">
      <w:pPr>
        <w:rPr>
          <w:rFonts w:eastAsiaTheme="minorHAnsi" w:cs="Arial"/>
          <w:b/>
          <w:szCs w:val="22"/>
          <w:lang w:val="en-US" w:eastAsia="en-US"/>
        </w:rPr>
      </w:pPr>
      <w:r w:rsidRPr="00765C24">
        <w:rPr>
          <w:rFonts w:eastAsiaTheme="minorHAnsi" w:cs="Arial"/>
          <w:b/>
          <w:szCs w:val="22"/>
          <w:lang w:val="en-US" w:eastAsia="en-US"/>
        </w:rPr>
        <w:t>Development of accounting policies based on International Public Sector Accounting</w:t>
      </w:r>
    </w:p>
    <w:p w:rsidR="00765C24" w:rsidRDefault="00765C24" w:rsidP="00765C24">
      <w:pPr>
        <w:rPr>
          <w:rFonts w:eastAsiaTheme="minorHAnsi" w:cs="Arial"/>
          <w:b/>
          <w:szCs w:val="22"/>
          <w:lang w:val="en-US" w:eastAsia="en-US"/>
        </w:rPr>
      </w:pPr>
      <w:r w:rsidRPr="00765C24">
        <w:rPr>
          <w:rFonts w:eastAsiaTheme="minorHAnsi" w:cs="Arial"/>
          <w:b/>
          <w:szCs w:val="22"/>
          <w:lang w:val="en-US" w:eastAsia="en-US"/>
        </w:rPr>
        <w:t>Standards (IPSAS)</w:t>
      </w:r>
      <w:r w:rsidR="00D50DC3" w:rsidRPr="00D50DC3">
        <w:rPr>
          <w:rFonts w:eastAsiaTheme="minorHAnsi" w:cs="Arial"/>
          <w:szCs w:val="22"/>
          <w:lang w:val="en-US" w:eastAsia="en-US"/>
        </w:rPr>
        <w:t xml:space="preserve"> </w:t>
      </w:r>
      <w:r w:rsidR="00D50DC3" w:rsidRPr="00D50DC3">
        <w:rPr>
          <w:rFonts w:eastAsiaTheme="minorHAnsi" w:cs="Arial"/>
          <w:b/>
          <w:szCs w:val="22"/>
          <w:lang w:val="en-US" w:eastAsia="en-US"/>
        </w:rPr>
        <w:t>and examine and improve internal control systems</w:t>
      </w:r>
      <w:r>
        <w:rPr>
          <w:rFonts w:eastAsiaTheme="minorHAnsi" w:cs="Arial"/>
          <w:b/>
          <w:szCs w:val="22"/>
          <w:lang w:val="en-US" w:eastAsia="en-US"/>
        </w:rPr>
        <w:t xml:space="preserve"> </w:t>
      </w:r>
      <w:r w:rsidRPr="00765C24">
        <w:rPr>
          <w:rFonts w:eastAsiaTheme="minorHAnsi" w:cs="Arial"/>
          <w:b/>
          <w:szCs w:val="22"/>
          <w:lang w:val="en-US" w:eastAsia="en-US"/>
        </w:rPr>
        <w:t>for the Ministry of Regional Development and Infrastructure of Georgia and 3 units under its control</w:t>
      </w:r>
    </w:p>
    <w:p w:rsidR="00765C24" w:rsidRPr="00765C24" w:rsidRDefault="00765C24" w:rsidP="00765C24">
      <w:pPr>
        <w:rPr>
          <w:rFonts w:eastAsiaTheme="minorHAnsi" w:cs="Arial"/>
          <w:b/>
          <w:szCs w:val="22"/>
          <w:lang w:val="en-US" w:eastAsia="en-US"/>
        </w:rPr>
      </w:pPr>
    </w:p>
    <w:p w:rsidR="00C0564C" w:rsidRPr="00765C24" w:rsidRDefault="00C0564C" w:rsidP="007176B7">
      <w:pPr>
        <w:tabs>
          <w:tab w:val="left" w:pos="3708"/>
        </w:tabs>
        <w:autoSpaceDE w:val="0"/>
        <w:autoSpaceDN w:val="0"/>
        <w:adjustRightInd w:val="0"/>
        <w:spacing w:before="60" w:after="200" w:line="276" w:lineRule="auto"/>
        <w:ind w:right="919"/>
        <w:jc w:val="both"/>
        <w:rPr>
          <w:rStyle w:val="Seitenzahl"/>
          <w:lang w:val="en-US"/>
        </w:rPr>
      </w:pPr>
      <w:r w:rsidRPr="00C0564C">
        <w:rPr>
          <w:rStyle w:val="Seitenzahl"/>
          <w:lang w:val="en-US"/>
        </w:rPr>
        <w:t>On behalf of the German Federal Ministry for Economic Cooperation and Development (BMZ), GIZ Good Governance for Local Development Programme</w:t>
      </w:r>
      <w:r w:rsidR="00883868">
        <w:rPr>
          <w:rStyle w:val="Seitenzahl"/>
          <w:lang w:val="en-US"/>
        </w:rPr>
        <w:t xml:space="preserve"> </w:t>
      </w:r>
      <w:r w:rsidRPr="00C0564C">
        <w:rPr>
          <w:rStyle w:val="Seitenzahl"/>
          <w:lang w:val="en-US"/>
        </w:rPr>
        <w:t>(GGLD)</w:t>
      </w:r>
      <w:r w:rsidR="00E903E6">
        <w:rPr>
          <w:rStyle w:val="Seitenzahl"/>
          <w:lang w:val="en-US"/>
        </w:rPr>
        <w:t xml:space="preserve"> </w:t>
      </w:r>
      <w:r w:rsidRPr="00C0564C">
        <w:rPr>
          <w:rStyle w:val="Seitenzahl"/>
          <w:lang w:val="en-US"/>
        </w:rPr>
        <w:t>invites organizations to submit the proposals for consultancy services.</w:t>
      </w:r>
      <w:r w:rsidRPr="00765C24">
        <w:rPr>
          <w:rStyle w:val="Seitenzahl"/>
          <w:lang w:val="en-US"/>
        </w:rPr>
        <w:t xml:space="preserve"> </w:t>
      </w:r>
    </w:p>
    <w:p w:rsidR="00C0564C" w:rsidRDefault="00765C24" w:rsidP="007176B7">
      <w:pPr>
        <w:tabs>
          <w:tab w:val="left" w:pos="3708"/>
        </w:tabs>
        <w:autoSpaceDE w:val="0"/>
        <w:autoSpaceDN w:val="0"/>
        <w:adjustRightInd w:val="0"/>
        <w:spacing w:before="60" w:after="200" w:line="276" w:lineRule="auto"/>
        <w:ind w:right="919"/>
        <w:jc w:val="both"/>
        <w:rPr>
          <w:b/>
          <w:bCs/>
          <w:szCs w:val="22"/>
          <w:lang w:val="en-US"/>
        </w:rPr>
      </w:pPr>
      <w:r>
        <w:rPr>
          <w:b/>
          <w:bCs/>
          <w:szCs w:val="22"/>
          <w:lang w:val="en-US"/>
        </w:rPr>
        <w:t>Terms of Reference</w:t>
      </w:r>
    </w:p>
    <w:p w:rsidR="00765C24" w:rsidRDefault="00765C24" w:rsidP="007176B7">
      <w:pPr>
        <w:tabs>
          <w:tab w:val="left" w:pos="3708"/>
        </w:tabs>
        <w:autoSpaceDE w:val="0"/>
        <w:autoSpaceDN w:val="0"/>
        <w:adjustRightInd w:val="0"/>
        <w:spacing w:before="60" w:after="200" w:line="276" w:lineRule="auto"/>
        <w:ind w:right="919"/>
        <w:jc w:val="both"/>
        <w:rPr>
          <w:b/>
          <w:bCs/>
          <w:szCs w:val="22"/>
          <w:lang w:val="en-US"/>
        </w:rPr>
      </w:pPr>
    </w:p>
    <w:p w:rsidR="007176B7" w:rsidRPr="00D41A16" w:rsidRDefault="00C17245" w:rsidP="007176B7">
      <w:pPr>
        <w:tabs>
          <w:tab w:val="left" w:pos="3708"/>
        </w:tabs>
        <w:autoSpaceDE w:val="0"/>
        <w:autoSpaceDN w:val="0"/>
        <w:adjustRightInd w:val="0"/>
        <w:spacing w:before="60" w:after="200" w:line="276" w:lineRule="auto"/>
        <w:ind w:right="919"/>
        <w:jc w:val="both"/>
        <w:rPr>
          <w:b/>
          <w:bCs/>
          <w:szCs w:val="22"/>
          <w:lang w:val="en-US"/>
        </w:rPr>
      </w:pPr>
      <w:r>
        <w:rPr>
          <w:b/>
          <w:bCs/>
          <w:szCs w:val="22"/>
          <w:lang w:val="en-US"/>
        </w:rPr>
        <w:t>1.</w:t>
      </w:r>
      <w:r w:rsidR="007176B7" w:rsidRPr="00D41A16">
        <w:rPr>
          <w:b/>
          <w:bCs/>
          <w:szCs w:val="22"/>
          <w:lang w:val="en-US"/>
        </w:rPr>
        <w:t xml:space="preserve">General information </w:t>
      </w:r>
    </w:p>
    <w:p w:rsidR="006003B7" w:rsidRPr="008234AF" w:rsidRDefault="006003B7" w:rsidP="006003B7">
      <w:pPr>
        <w:jc w:val="both"/>
        <w:rPr>
          <w:rStyle w:val="Seitenzahl"/>
          <w:lang w:val="en-US"/>
        </w:rPr>
      </w:pPr>
      <w:proofErr w:type="spellStart"/>
      <w:r w:rsidRPr="008234AF">
        <w:rPr>
          <w:rStyle w:val="Seitenzahl"/>
          <w:lang w:val="en-US"/>
        </w:rPr>
        <w:t>Programme</w:t>
      </w:r>
      <w:proofErr w:type="spellEnd"/>
      <w:r w:rsidRPr="008234AF">
        <w:rPr>
          <w:rStyle w:val="Seitenzahl"/>
          <w:lang w:val="en-US"/>
        </w:rPr>
        <w:t xml:space="preserve"> Name: Good Governance for Local Development in South Caucasus (GGLD) </w:t>
      </w:r>
    </w:p>
    <w:p w:rsidR="006003B7" w:rsidRPr="008234AF" w:rsidRDefault="006003B7" w:rsidP="006003B7">
      <w:pPr>
        <w:jc w:val="both"/>
        <w:rPr>
          <w:rStyle w:val="Seitenzahl"/>
          <w:lang w:val="en-US"/>
        </w:rPr>
      </w:pPr>
      <w:r w:rsidRPr="008234AF">
        <w:rPr>
          <w:rStyle w:val="Seitenzahl"/>
          <w:lang w:val="en-US"/>
        </w:rPr>
        <w:t xml:space="preserve">Objective: public institutions in the South Caucasus region are better able to provide citizen-oriented public services at the local level in a sustainable and environment friendly manner in accordance with the principles of democracy, rule of law and transparency that improves the living conditions of local population. </w:t>
      </w:r>
    </w:p>
    <w:p w:rsidR="006003B7" w:rsidRPr="008234AF" w:rsidRDefault="006003B7" w:rsidP="006003B7">
      <w:pPr>
        <w:jc w:val="both"/>
        <w:rPr>
          <w:rStyle w:val="Seitenzahl"/>
          <w:lang w:val="en-US"/>
        </w:rPr>
      </w:pPr>
      <w:r w:rsidRPr="008234AF">
        <w:rPr>
          <w:rStyle w:val="Seitenzahl"/>
          <w:lang w:val="en-US"/>
        </w:rPr>
        <w:t>Basic fields of action:</w:t>
      </w:r>
    </w:p>
    <w:p w:rsidR="006003B7" w:rsidRPr="008234AF" w:rsidRDefault="006003B7" w:rsidP="006003B7">
      <w:pPr>
        <w:numPr>
          <w:ilvl w:val="0"/>
          <w:numId w:val="8"/>
        </w:numPr>
        <w:spacing w:before="100" w:beforeAutospacing="1" w:after="100" w:afterAutospacing="1" w:line="276" w:lineRule="auto"/>
        <w:contextualSpacing/>
        <w:jc w:val="both"/>
        <w:rPr>
          <w:rStyle w:val="Seitenzahl"/>
          <w:lang w:val="en-US"/>
        </w:rPr>
      </w:pPr>
      <w:r w:rsidRPr="008234AF">
        <w:rPr>
          <w:rStyle w:val="Seitenzahl"/>
          <w:lang w:val="en-US"/>
        </w:rPr>
        <w:t>Improving the legal and institutional framework for providing citizen-oriented public services;</w:t>
      </w:r>
    </w:p>
    <w:p w:rsidR="006003B7" w:rsidRPr="008234AF" w:rsidRDefault="006003B7" w:rsidP="006003B7">
      <w:pPr>
        <w:numPr>
          <w:ilvl w:val="0"/>
          <w:numId w:val="8"/>
        </w:numPr>
        <w:spacing w:before="100" w:beforeAutospacing="1" w:after="100" w:afterAutospacing="1" w:line="276" w:lineRule="auto"/>
        <w:contextualSpacing/>
        <w:jc w:val="both"/>
        <w:rPr>
          <w:rStyle w:val="Seitenzahl"/>
          <w:lang w:val="en-US"/>
        </w:rPr>
      </w:pPr>
      <w:r w:rsidRPr="008234AF">
        <w:rPr>
          <w:rStyle w:val="Seitenzahl"/>
          <w:lang w:val="en-US"/>
        </w:rPr>
        <w:t>Strengthening the capacities of key stakeholders to deliver citizen-oriented services and to finance them;</w:t>
      </w:r>
    </w:p>
    <w:p w:rsidR="006003B7" w:rsidRPr="008234AF" w:rsidRDefault="006003B7" w:rsidP="006003B7">
      <w:pPr>
        <w:numPr>
          <w:ilvl w:val="0"/>
          <w:numId w:val="8"/>
        </w:numPr>
        <w:spacing w:before="100" w:beforeAutospacing="1" w:after="100" w:afterAutospacing="1" w:line="276" w:lineRule="auto"/>
        <w:jc w:val="both"/>
        <w:rPr>
          <w:rStyle w:val="Seitenzahl"/>
          <w:lang w:val="en-US"/>
        </w:rPr>
      </w:pPr>
      <w:r w:rsidRPr="008234AF">
        <w:rPr>
          <w:rStyle w:val="Seitenzahl"/>
          <w:lang w:val="en-US"/>
        </w:rPr>
        <w:t>Introducing public participation mechanisms for the engagement of citizens in service delivery;</w:t>
      </w:r>
    </w:p>
    <w:p w:rsidR="006003B7" w:rsidRPr="008234AF" w:rsidRDefault="006003B7" w:rsidP="006003B7">
      <w:pPr>
        <w:numPr>
          <w:ilvl w:val="0"/>
          <w:numId w:val="8"/>
        </w:numPr>
        <w:spacing w:before="100" w:beforeAutospacing="1" w:after="100" w:afterAutospacing="1" w:line="276" w:lineRule="auto"/>
        <w:jc w:val="both"/>
        <w:rPr>
          <w:rStyle w:val="Seitenzahl"/>
          <w:lang w:val="en-US"/>
        </w:rPr>
      </w:pPr>
      <w:r w:rsidRPr="008234AF">
        <w:rPr>
          <w:rStyle w:val="Seitenzahl"/>
          <w:lang w:val="en-US"/>
        </w:rPr>
        <w:t>Strengthening the procedures, institutions and instruments of regional and local economic development;</w:t>
      </w:r>
    </w:p>
    <w:p w:rsidR="006003B7" w:rsidRPr="008234AF" w:rsidRDefault="006003B7" w:rsidP="006003B7">
      <w:pPr>
        <w:numPr>
          <w:ilvl w:val="0"/>
          <w:numId w:val="8"/>
        </w:numPr>
        <w:spacing w:before="100" w:beforeAutospacing="1" w:after="100" w:afterAutospacing="1" w:line="276" w:lineRule="auto"/>
        <w:jc w:val="both"/>
        <w:rPr>
          <w:rStyle w:val="Seitenzahl"/>
          <w:lang w:val="en-US"/>
        </w:rPr>
      </w:pPr>
      <w:r w:rsidRPr="008234AF">
        <w:rPr>
          <w:rStyle w:val="Seitenzahl"/>
          <w:lang w:val="en-US"/>
        </w:rPr>
        <w:t xml:space="preserve">Promoting exchange of experience and cross-border learning. </w:t>
      </w:r>
    </w:p>
    <w:p w:rsidR="006003B7" w:rsidRPr="008234AF" w:rsidRDefault="006003B7" w:rsidP="006003B7">
      <w:pPr>
        <w:jc w:val="both"/>
        <w:rPr>
          <w:rStyle w:val="Seitenzahl"/>
          <w:lang w:val="en-US"/>
        </w:rPr>
      </w:pPr>
      <w:proofErr w:type="spellStart"/>
      <w:r w:rsidRPr="008234AF">
        <w:rPr>
          <w:rStyle w:val="Seitenzahl"/>
          <w:lang w:val="en-US"/>
        </w:rPr>
        <w:t>Programme</w:t>
      </w:r>
      <w:proofErr w:type="spellEnd"/>
      <w:r w:rsidRPr="008234AF">
        <w:rPr>
          <w:rStyle w:val="Seitenzahl"/>
          <w:lang w:val="en-US"/>
        </w:rPr>
        <w:t xml:space="preserve"> duration: 01/04/2020 – 31/03/2023</w:t>
      </w:r>
    </w:p>
    <w:p w:rsidR="008234AF" w:rsidRDefault="008234AF" w:rsidP="006003B7">
      <w:pPr>
        <w:jc w:val="both"/>
        <w:rPr>
          <w:rFonts w:eastAsiaTheme="minorHAnsi" w:cs="Arial"/>
          <w:sz w:val="24"/>
          <w:szCs w:val="24"/>
          <w:lang w:val="en"/>
        </w:rPr>
      </w:pPr>
    </w:p>
    <w:p w:rsidR="00243158" w:rsidRPr="00243158" w:rsidRDefault="003E4D68" w:rsidP="00765C24">
      <w:pPr>
        <w:spacing w:line="360" w:lineRule="auto"/>
        <w:rPr>
          <w:rStyle w:val="Seitenzahl"/>
          <w:b/>
          <w:lang w:val="en-US"/>
        </w:rPr>
      </w:pPr>
      <w:r>
        <w:rPr>
          <w:rStyle w:val="Seitenzahl"/>
          <w:b/>
          <w:lang w:val="en-US"/>
        </w:rPr>
        <w:tab/>
      </w:r>
    </w:p>
    <w:p w:rsidR="007176B7" w:rsidRPr="00765C24" w:rsidRDefault="00C17245" w:rsidP="00765C24">
      <w:pPr>
        <w:tabs>
          <w:tab w:val="left" w:pos="3708"/>
        </w:tabs>
        <w:autoSpaceDE w:val="0"/>
        <w:autoSpaceDN w:val="0"/>
        <w:adjustRightInd w:val="0"/>
        <w:spacing w:before="60" w:after="200" w:line="276" w:lineRule="auto"/>
        <w:ind w:right="919"/>
        <w:jc w:val="both"/>
        <w:rPr>
          <w:rFonts w:eastAsiaTheme="minorHAnsi" w:cs="Arial"/>
          <w:b/>
          <w:szCs w:val="22"/>
          <w:lang w:val="en-US" w:eastAsia="en-US"/>
        </w:rPr>
      </w:pPr>
      <w:r>
        <w:rPr>
          <w:rFonts w:eastAsiaTheme="minorHAnsi" w:cs="Arial"/>
          <w:b/>
          <w:szCs w:val="22"/>
          <w:lang w:val="en-US" w:eastAsia="en-US"/>
        </w:rPr>
        <w:t>2.</w:t>
      </w:r>
      <w:r w:rsidR="007176B7" w:rsidRPr="00765C24">
        <w:rPr>
          <w:rFonts w:eastAsiaTheme="minorHAnsi" w:cs="Arial"/>
          <w:b/>
          <w:szCs w:val="22"/>
          <w:lang w:val="en-US" w:eastAsia="en-US"/>
        </w:rPr>
        <w:t>Background</w:t>
      </w:r>
      <w:r w:rsidR="00C0564C" w:rsidRPr="00765C24">
        <w:rPr>
          <w:rFonts w:eastAsiaTheme="minorHAnsi" w:cs="Arial"/>
          <w:b/>
          <w:szCs w:val="22"/>
          <w:lang w:val="en-US" w:eastAsia="en-US"/>
        </w:rPr>
        <w:t xml:space="preserve"> informatio</w:t>
      </w:r>
      <w:r w:rsidR="00765C24" w:rsidRPr="00765C24">
        <w:rPr>
          <w:rFonts w:eastAsiaTheme="minorHAnsi" w:cs="Arial"/>
          <w:b/>
          <w:szCs w:val="22"/>
          <w:lang w:val="en-US" w:eastAsia="en-US"/>
        </w:rPr>
        <w:t>n</w:t>
      </w:r>
    </w:p>
    <w:p w:rsidR="00B306A3" w:rsidRPr="00B306A3" w:rsidRDefault="007176B7" w:rsidP="00B306A3">
      <w:pPr>
        <w:spacing w:line="360" w:lineRule="auto"/>
        <w:jc w:val="both"/>
        <w:rPr>
          <w:lang w:val="en-US"/>
        </w:rPr>
      </w:pPr>
      <w:r>
        <w:rPr>
          <w:rStyle w:val="Seitenzahl"/>
          <w:lang w:val="en-US"/>
        </w:rPr>
        <w:t xml:space="preserve">GIZ Good Governance for Local Development </w:t>
      </w:r>
      <w:r w:rsidR="00E903E6">
        <w:rPr>
          <w:rStyle w:val="Seitenzahl"/>
          <w:lang w:val="en-US"/>
        </w:rPr>
        <w:t>(</w:t>
      </w:r>
      <w:r>
        <w:rPr>
          <w:rStyle w:val="Seitenzahl"/>
          <w:lang w:val="en-US"/>
        </w:rPr>
        <w:t>GGLD</w:t>
      </w:r>
      <w:r w:rsidR="00E903E6">
        <w:rPr>
          <w:rStyle w:val="Seitenzahl"/>
          <w:lang w:val="en-US"/>
        </w:rPr>
        <w:t>)</w:t>
      </w:r>
      <w:r>
        <w:rPr>
          <w:rStyle w:val="Seitenzahl"/>
          <w:lang w:val="en-US"/>
        </w:rPr>
        <w:t xml:space="preserve"> actively cooperates with the Ministry of </w:t>
      </w:r>
      <w:r w:rsidR="00243158">
        <w:rPr>
          <w:rStyle w:val="Seitenzahl"/>
          <w:lang w:val="en-US"/>
        </w:rPr>
        <w:t>Regional Development and I</w:t>
      </w:r>
      <w:r w:rsidR="00EC6A88">
        <w:rPr>
          <w:rStyle w:val="Seitenzahl"/>
          <w:lang w:val="en-US"/>
        </w:rPr>
        <w:t>nf</w:t>
      </w:r>
      <w:r w:rsidR="00243158">
        <w:rPr>
          <w:rStyle w:val="Seitenzahl"/>
          <w:lang w:val="en-US"/>
        </w:rPr>
        <w:t>rastructure Georgia (MRDI)</w:t>
      </w:r>
      <w:r w:rsidR="000F63C4">
        <w:rPr>
          <w:rStyle w:val="Seitenzahl"/>
          <w:lang w:val="en-US"/>
        </w:rPr>
        <w:t xml:space="preserve"> and Ministry of Finance Georgia</w:t>
      </w:r>
      <w:r w:rsidR="00243158">
        <w:rPr>
          <w:rStyle w:val="Seitenzahl"/>
          <w:lang w:val="en-US"/>
        </w:rPr>
        <w:t>.</w:t>
      </w:r>
      <w:r>
        <w:rPr>
          <w:rStyle w:val="Seitenzahl"/>
          <w:lang w:val="en-US"/>
        </w:rPr>
        <w:t xml:space="preserve"> In recent years </w:t>
      </w:r>
      <w:r w:rsidRPr="001E64C1">
        <w:rPr>
          <w:rStyle w:val="Seitenzahl"/>
          <w:lang w:val="en-US"/>
        </w:rPr>
        <w:t xml:space="preserve">GIZ </w:t>
      </w:r>
      <w:r w:rsidR="00E903E6">
        <w:rPr>
          <w:rStyle w:val="Seitenzahl"/>
          <w:lang w:val="en-US"/>
        </w:rPr>
        <w:t xml:space="preserve">GGLD </w:t>
      </w:r>
      <w:r w:rsidRPr="001E64C1">
        <w:rPr>
          <w:rStyle w:val="Seitenzahl"/>
          <w:lang w:val="en-US"/>
        </w:rPr>
        <w:t xml:space="preserve">supported </w:t>
      </w:r>
      <w:r w:rsidR="00243158">
        <w:rPr>
          <w:rStyle w:val="Seitenzahl"/>
          <w:lang w:val="en-US"/>
        </w:rPr>
        <w:t>MRDI</w:t>
      </w:r>
      <w:r w:rsidR="00845CFF">
        <w:rPr>
          <w:rStyle w:val="Seitenzahl"/>
          <w:lang w:val="en-US"/>
        </w:rPr>
        <w:t xml:space="preserve"> with various projects </w:t>
      </w:r>
      <w:r w:rsidR="00EA1E19">
        <w:rPr>
          <w:rStyle w:val="Seitenzahl"/>
          <w:lang w:val="en-US"/>
        </w:rPr>
        <w:t>in the decentralization process and</w:t>
      </w:r>
      <w:r w:rsidR="003E4D68">
        <w:rPr>
          <w:rStyle w:val="Seitenzahl"/>
          <w:lang w:val="en-US"/>
        </w:rPr>
        <w:t xml:space="preserve"> with</w:t>
      </w:r>
      <w:r w:rsidR="00EA1E19">
        <w:rPr>
          <w:rStyle w:val="Seitenzahl"/>
          <w:lang w:val="en-US"/>
        </w:rPr>
        <w:t xml:space="preserve"> strengthen</w:t>
      </w:r>
      <w:r w:rsidR="003E4D68">
        <w:rPr>
          <w:rStyle w:val="Seitenzahl"/>
          <w:lang w:val="en-US"/>
        </w:rPr>
        <w:t>ing</w:t>
      </w:r>
      <w:r w:rsidR="00EA1E19">
        <w:rPr>
          <w:rStyle w:val="Seitenzahl"/>
          <w:lang w:val="en-US"/>
        </w:rPr>
        <w:t xml:space="preserve"> </w:t>
      </w:r>
      <w:r w:rsidRPr="003E4D68">
        <w:rPr>
          <w:rStyle w:val="Seitenzahl"/>
          <w:lang w:val="en-US"/>
        </w:rPr>
        <w:t xml:space="preserve">the </w:t>
      </w:r>
      <w:r w:rsidR="00EA1E19" w:rsidRPr="003E4D68">
        <w:rPr>
          <w:rStyle w:val="Seitenzahl"/>
          <w:lang w:val="en-US"/>
        </w:rPr>
        <w:t>P</w:t>
      </w:r>
      <w:r w:rsidRPr="003E4D68">
        <w:rPr>
          <w:rStyle w:val="Seitenzahl"/>
          <w:lang w:val="en-US"/>
        </w:rPr>
        <w:t xml:space="preserve">ublic </w:t>
      </w:r>
      <w:r w:rsidR="00EA1E19" w:rsidRPr="003E4D68">
        <w:rPr>
          <w:rStyle w:val="Seitenzahl"/>
          <w:lang w:val="en-US"/>
        </w:rPr>
        <w:t>F</w:t>
      </w:r>
      <w:r w:rsidRPr="003E4D68">
        <w:rPr>
          <w:rStyle w:val="Seitenzahl"/>
          <w:lang w:val="en-US"/>
        </w:rPr>
        <w:t xml:space="preserve">inance Management reform </w:t>
      </w:r>
      <w:r w:rsidR="00EA1E19" w:rsidRPr="003E4D68">
        <w:rPr>
          <w:rStyle w:val="Seitenzahl"/>
          <w:lang w:val="en-US"/>
        </w:rPr>
        <w:t xml:space="preserve">on local level. </w:t>
      </w:r>
      <w:r w:rsidRPr="003E4D68">
        <w:rPr>
          <w:rStyle w:val="Seitenzahl"/>
          <w:lang w:val="en-US"/>
        </w:rPr>
        <w:t xml:space="preserve"> At this stage M</w:t>
      </w:r>
      <w:r w:rsidR="00B306A3" w:rsidRPr="00B306A3">
        <w:rPr>
          <w:rStyle w:val="Seitenzahl"/>
          <w:lang w:val="en-US"/>
        </w:rPr>
        <w:t>inistry of Finance</w:t>
      </w:r>
      <w:r w:rsidR="00B306A3">
        <w:rPr>
          <w:rStyle w:val="Seitenzahl"/>
          <w:rFonts w:asciiTheme="minorHAnsi" w:hAnsiTheme="minorHAnsi"/>
          <w:lang w:val="en-US"/>
        </w:rPr>
        <w:t xml:space="preserve"> </w:t>
      </w:r>
      <w:r w:rsidRPr="003E4D68">
        <w:rPr>
          <w:rStyle w:val="Seitenzahl"/>
          <w:lang w:val="en-US"/>
        </w:rPr>
        <w:t xml:space="preserve">State Treasury Service implements </w:t>
      </w:r>
      <w:r w:rsidRPr="00430933">
        <w:rPr>
          <w:rStyle w:val="Seitenzahl"/>
          <w:lang w:val="en-US"/>
        </w:rPr>
        <w:t>the accounting methodology reforms according to the Decree of Ministry of Finance N 701, 3 November 2009,</w:t>
      </w:r>
      <w:r>
        <w:rPr>
          <w:rStyle w:val="Seitenzahl"/>
          <w:lang w:val="en-US"/>
        </w:rPr>
        <w:t xml:space="preserve"> </w:t>
      </w:r>
      <w:r w:rsidRPr="00430933">
        <w:rPr>
          <w:rStyle w:val="Seitenzahl"/>
          <w:lang w:val="en-US"/>
        </w:rPr>
        <w:t xml:space="preserve">which </w:t>
      </w:r>
      <w:proofErr w:type="gramStart"/>
      <w:r w:rsidRPr="00430933">
        <w:rPr>
          <w:rStyle w:val="Seitenzahl"/>
          <w:lang w:val="en-US"/>
        </w:rPr>
        <w:t xml:space="preserve">is in compliance </w:t>
      </w:r>
      <w:r w:rsidR="005872FC">
        <w:rPr>
          <w:rStyle w:val="Seitenzahl"/>
          <w:lang w:val="en-US"/>
        </w:rPr>
        <w:t>with</w:t>
      </w:r>
      <w:proofErr w:type="gramEnd"/>
      <w:r w:rsidRPr="00430933">
        <w:rPr>
          <w:rStyle w:val="Seitenzahl"/>
          <w:lang w:val="en-US"/>
        </w:rPr>
        <w:t xml:space="preserve"> implementation acti</w:t>
      </w:r>
      <w:r>
        <w:rPr>
          <w:rStyle w:val="Seitenzahl"/>
          <w:lang w:val="en-US"/>
        </w:rPr>
        <w:t xml:space="preserve">on plan of International Public </w:t>
      </w:r>
      <w:r w:rsidRPr="00430933">
        <w:rPr>
          <w:rStyle w:val="Seitenzahl"/>
          <w:lang w:val="en-US"/>
        </w:rPr>
        <w:t xml:space="preserve">Sector Accounting Standard. To </w:t>
      </w:r>
      <w:r w:rsidRPr="002A39F4">
        <w:rPr>
          <w:rStyle w:val="Seitenzahl"/>
          <w:lang w:val="en-US"/>
        </w:rPr>
        <w:t xml:space="preserve">ensure </w:t>
      </w:r>
      <w:r w:rsidRPr="00430933">
        <w:rPr>
          <w:rStyle w:val="Seitenzahl"/>
          <w:lang w:val="en-US"/>
        </w:rPr>
        <w:t>the full</w:t>
      </w:r>
      <w:r w:rsidRPr="002A39F4">
        <w:rPr>
          <w:rStyle w:val="Seitenzahl"/>
          <w:lang w:val="en-US"/>
        </w:rPr>
        <w:t xml:space="preserve"> coverage of all public institutions starting f</w:t>
      </w:r>
      <w:r w:rsidRPr="00430933">
        <w:rPr>
          <w:rStyle w:val="Seitenzahl"/>
          <w:lang w:val="en-US"/>
        </w:rPr>
        <w:t>rom January</w:t>
      </w:r>
      <w:r w:rsidRPr="002A39F4">
        <w:rPr>
          <w:rStyle w:val="Seitenzahl"/>
          <w:lang w:val="en-US"/>
        </w:rPr>
        <w:t xml:space="preserve"> 1,</w:t>
      </w:r>
      <w:r w:rsidRPr="00430933">
        <w:rPr>
          <w:rStyle w:val="Seitenzahl"/>
          <w:lang w:val="en-US"/>
        </w:rPr>
        <w:t xml:space="preserve"> 2015 autonomous republics and self-govern</w:t>
      </w:r>
      <w:r w:rsidRPr="002A39F4">
        <w:rPr>
          <w:rStyle w:val="Seitenzahl"/>
          <w:lang w:val="en-US"/>
        </w:rPr>
        <w:t>ments</w:t>
      </w:r>
      <w:r w:rsidRPr="00430933">
        <w:rPr>
          <w:rStyle w:val="Seitenzahl"/>
          <w:lang w:val="en-US"/>
        </w:rPr>
        <w:t xml:space="preserve"> were </w:t>
      </w:r>
      <w:r w:rsidRPr="002A39F4">
        <w:rPr>
          <w:rStyle w:val="Seitenzahl"/>
          <w:lang w:val="en-US"/>
        </w:rPr>
        <w:t>incorporated</w:t>
      </w:r>
      <w:r w:rsidRPr="00430933">
        <w:rPr>
          <w:rStyle w:val="Seitenzahl"/>
          <w:lang w:val="en-US"/>
        </w:rPr>
        <w:t xml:space="preserve"> in the integrated information system of public financial management.  It conditioned the fact that accounting reform</w:t>
      </w:r>
      <w:r w:rsidR="005872FC">
        <w:rPr>
          <w:rStyle w:val="Seitenzahl"/>
          <w:lang w:val="en-US"/>
        </w:rPr>
        <w:t xml:space="preserve"> </w:t>
      </w:r>
      <w:r w:rsidRPr="00430933">
        <w:rPr>
          <w:rStyle w:val="Seitenzahl"/>
          <w:lang w:val="en-US"/>
        </w:rPr>
        <w:t>cover</w:t>
      </w:r>
      <w:r w:rsidRPr="002A39F4">
        <w:rPr>
          <w:rStyle w:val="Seitenzahl"/>
          <w:lang w:val="en-US"/>
        </w:rPr>
        <w:t>s</w:t>
      </w:r>
      <w:r w:rsidRPr="00430933">
        <w:rPr>
          <w:rStyle w:val="Seitenzahl"/>
          <w:lang w:val="en-US"/>
        </w:rPr>
        <w:t xml:space="preserve"> not only </w:t>
      </w:r>
      <w:r w:rsidRPr="002A39F4">
        <w:rPr>
          <w:rStyle w:val="Seitenzahl"/>
          <w:lang w:val="en-US"/>
        </w:rPr>
        <w:t xml:space="preserve">central level </w:t>
      </w:r>
      <w:r w:rsidRPr="00430933">
        <w:rPr>
          <w:rStyle w:val="Seitenzahl"/>
          <w:lang w:val="en-US"/>
        </w:rPr>
        <w:t>budgetary institutions but autonomous republics and self-govern</w:t>
      </w:r>
      <w:r w:rsidRPr="002A39F4">
        <w:rPr>
          <w:rStyle w:val="Seitenzahl"/>
          <w:lang w:val="en-US"/>
        </w:rPr>
        <w:t>ments</w:t>
      </w:r>
      <w:r w:rsidRPr="00430933">
        <w:rPr>
          <w:rStyle w:val="Seitenzahl"/>
          <w:lang w:val="en-US"/>
        </w:rPr>
        <w:t xml:space="preserve"> as well.</w:t>
      </w:r>
      <w:r w:rsidRPr="002A39F4">
        <w:rPr>
          <w:rStyle w:val="Seitenzahl"/>
          <w:lang w:val="en-US"/>
        </w:rPr>
        <w:t xml:space="preserve"> In 2017 changes were made in the initial decree of the ministerial decree on implementation of IPSAS introduction plan and based on the decree #485 main directions and frequency of the reform was set, thereby incorporating local government units in the plan.</w:t>
      </w:r>
      <w:r w:rsidR="004F342A" w:rsidRPr="004F342A">
        <w:rPr>
          <w:lang w:val="en-US"/>
        </w:rPr>
        <w:t xml:space="preserve"> </w:t>
      </w:r>
      <w:r w:rsidR="004F342A">
        <w:rPr>
          <w:rStyle w:val="Seitenzahl"/>
          <w:lang w:val="en-US"/>
        </w:rPr>
        <w:t>MRDI requested support in this regard,</w:t>
      </w:r>
      <w:r w:rsidRPr="002A39F4">
        <w:rPr>
          <w:rStyle w:val="Seitenzahl"/>
          <w:lang w:val="en-US"/>
        </w:rPr>
        <w:t xml:space="preserve"> GIZ will support </w:t>
      </w:r>
      <w:r w:rsidR="00243158">
        <w:rPr>
          <w:rStyle w:val="Seitenzahl"/>
          <w:lang w:val="en-US"/>
        </w:rPr>
        <w:t>MRDI</w:t>
      </w:r>
      <w:r w:rsidRPr="002A39F4">
        <w:rPr>
          <w:rStyle w:val="Seitenzahl"/>
          <w:lang w:val="en-US"/>
        </w:rPr>
        <w:t xml:space="preserve"> in implementation of this plan</w:t>
      </w:r>
      <w:r w:rsidR="004F342A">
        <w:rPr>
          <w:rStyle w:val="Seitenzahl"/>
          <w:lang w:val="en-US"/>
        </w:rPr>
        <w:t xml:space="preserve"> and</w:t>
      </w:r>
      <w:r w:rsidR="00E903E6">
        <w:rPr>
          <w:rStyle w:val="Seitenzahl"/>
          <w:lang w:val="en-US"/>
        </w:rPr>
        <w:t xml:space="preserve"> </w:t>
      </w:r>
      <w:proofErr w:type="gramStart"/>
      <w:r w:rsidR="00E903E6">
        <w:rPr>
          <w:rStyle w:val="Seitenzahl"/>
          <w:lang w:val="en-US"/>
        </w:rPr>
        <w:t>in particular</w:t>
      </w:r>
      <w:r w:rsidR="004F342A">
        <w:rPr>
          <w:rStyle w:val="Seitenzahl"/>
          <w:lang w:val="en-US"/>
        </w:rPr>
        <w:t xml:space="preserve"> by</w:t>
      </w:r>
      <w:proofErr w:type="gramEnd"/>
      <w:r w:rsidR="004F342A">
        <w:rPr>
          <w:rStyle w:val="Seitenzahl"/>
          <w:lang w:val="en-US"/>
        </w:rPr>
        <w:t xml:space="preserve"> </w:t>
      </w:r>
      <w:r w:rsidR="00770A70" w:rsidRPr="00B306A3">
        <w:rPr>
          <w:lang w:val="en-US"/>
        </w:rPr>
        <w:t>prepar</w:t>
      </w:r>
      <w:r w:rsidR="00770A70">
        <w:rPr>
          <w:lang w:val="en-US"/>
        </w:rPr>
        <w:t>ation</w:t>
      </w:r>
      <w:r w:rsidR="00770A70" w:rsidRPr="00B306A3">
        <w:rPr>
          <w:lang w:val="en-US"/>
        </w:rPr>
        <w:t xml:space="preserve"> </w:t>
      </w:r>
      <w:r w:rsidR="00770A70">
        <w:rPr>
          <w:lang w:val="en-US"/>
        </w:rPr>
        <w:t>of</w:t>
      </w:r>
      <w:r w:rsidR="00E903E6">
        <w:rPr>
          <w:lang w:val="en-US"/>
        </w:rPr>
        <w:t xml:space="preserve"> s</w:t>
      </w:r>
      <w:r w:rsidR="00B306A3" w:rsidRPr="00B306A3">
        <w:rPr>
          <w:lang w:val="en-US"/>
        </w:rPr>
        <w:t>pecifications on accounting policy/internal rules of accrual accounting and financial reporting. It should be noted that no other ministry has been able to elaborate similar rules, hence MRDI will be a flagship in elaborating and introducing this type of rules in its operations.</w:t>
      </w:r>
    </w:p>
    <w:p w:rsidR="007176B7" w:rsidRPr="002001E9" w:rsidRDefault="007176B7" w:rsidP="00765C24">
      <w:pPr>
        <w:tabs>
          <w:tab w:val="left" w:pos="3708"/>
        </w:tabs>
        <w:autoSpaceDE w:val="0"/>
        <w:autoSpaceDN w:val="0"/>
        <w:adjustRightInd w:val="0"/>
        <w:spacing w:before="60" w:after="200" w:line="276" w:lineRule="auto"/>
        <w:ind w:right="919"/>
        <w:jc w:val="both"/>
        <w:rPr>
          <w:rStyle w:val="Seitenzahl"/>
          <w:lang w:val="en-US"/>
        </w:rPr>
      </w:pPr>
    </w:p>
    <w:p w:rsidR="007176B7" w:rsidRPr="00243158" w:rsidRDefault="007176B7" w:rsidP="007176B7">
      <w:pPr>
        <w:ind w:right="607"/>
        <w:rPr>
          <w:rStyle w:val="Seitenzahl"/>
          <w:lang w:val="en-US"/>
        </w:rPr>
      </w:pPr>
    </w:p>
    <w:p w:rsidR="00765C24" w:rsidRPr="005872FC" w:rsidRDefault="00C17245" w:rsidP="007176B7">
      <w:pPr>
        <w:spacing w:after="200" w:line="360" w:lineRule="auto"/>
        <w:ind w:right="919"/>
        <w:rPr>
          <w:rFonts w:eastAsiaTheme="minorHAnsi" w:cs="Arial"/>
          <w:b/>
          <w:szCs w:val="22"/>
          <w:lang w:val="en-US" w:eastAsia="en-US"/>
        </w:rPr>
      </w:pPr>
      <w:r w:rsidRPr="003768EB">
        <w:rPr>
          <w:rFonts w:eastAsiaTheme="minorHAnsi" w:cs="Arial"/>
          <w:b/>
          <w:szCs w:val="22"/>
          <w:lang w:val="en-US" w:eastAsia="en-US"/>
        </w:rPr>
        <w:t>3.</w:t>
      </w:r>
      <w:r w:rsidR="007176B7" w:rsidRPr="00C17245">
        <w:rPr>
          <w:rFonts w:eastAsiaTheme="minorHAnsi" w:cs="Arial"/>
          <w:b/>
          <w:szCs w:val="22"/>
          <w:lang w:val="en-US" w:eastAsia="en-US"/>
        </w:rPr>
        <w:t>Objective of the</w:t>
      </w:r>
      <w:r w:rsidR="007176B7">
        <w:rPr>
          <w:rFonts w:eastAsiaTheme="minorHAnsi" w:cs="Arial"/>
          <w:b/>
          <w:szCs w:val="22"/>
          <w:lang w:val="en-US" w:eastAsia="en-US"/>
        </w:rPr>
        <w:t xml:space="preserve"> assignment and scope of work</w:t>
      </w:r>
    </w:p>
    <w:p w:rsidR="005872FC" w:rsidRDefault="00C17245" w:rsidP="007176B7">
      <w:pPr>
        <w:spacing w:after="200" w:line="360" w:lineRule="auto"/>
        <w:ind w:right="919"/>
        <w:rPr>
          <w:rStyle w:val="Seitenzahl"/>
          <w:lang w:val="en-US"/>
        </w:rPr>
      </w:pPr>
      <w:r w:rsidRPr="00EC6A88">
        <w:rPr>
          <w:rStyle w:val="Seitenzahl"/>
          <w:b/>
          <w:lang w:val="en-US"/>
        </w:rPr>
        <w:t>3.1.</w:t>
      </w:r>
      <w:r w:rsidR="00EC6A88">
        <w:rPr>
          <w:rStyle w:val="Seitenzahl"/>
          <w:lang w:val="en-US"/>
        </w:rPr>
        <w:t xml:space="preserve"> </w:t>
      </w:r>
      <w:r w:rsidR="00765C24" w:rsidRPr="00C17245">
        <w:rPr>
          <w:rStyle w:val="Seitenzahl"/>
          <w:lang w:val="en-US"/>
        </w:rPr>
        <w:t xml:space="preserve">The objective of the assignment is to </w:t>
      </w:r>
      <w:r w:rsidR="00243158" w:rsidRPr="00C17245">
        <w:rPr>
          <w:rStyle w:val="Seitenzahl"/>
          <w:lang w:val="en-US"/>
        </w:rPr>
        <w:t xml:space="preserve">support </w:t>
      </w:r>
      <w:r w:rsidR="00765C24" w:rsidRPr="00C17245">
        <w:rPr>
          <w:rStyle w:val="Seitenzahl"/>
          <w:lang w:val="en-US"/>
        </w:rPr>
        <w:t>develop</w:t>
      </w:r>
      <w:r w:rsidR="00243158" w:rsidRPr="00C17245">
        <w:rPr>
          <w:rStyle w:val="Seitenzahl"/>
          <w:lang w:val="en-US"/>
        </w:rPr>
        <w:t>ment</w:t>
      </w:r>
      <w:r w:rsidR="005872FC">
        <w:rPr>
          <w:rStyle w:val="Seitenzahl"/>
          <w:lang w:val="en-US"/>
        </w:rPr>
        <w:t xml:space="preserve"> of</w:t>
      </w:r>
      <w:r w:rsidR="00765C24" w:rsidRPr="00C17245">
        <w:rPr>
          <w:rStyle w:val="Seitenzahl"/>
          <w:lang w:val="en-US"/>
        </w:rPr>
        <w:t xml:space="preserve"> unified accounting policy for the units within the system of the Ministry of Regional Development and Infrastructure of Georgia. In </w:t>
      </w:r>
      <w:proofErr w:type="gramStart"/>
      <w:r w:rsidR="00765C24" w:rsidRPr="00C17245">
        <w:rPr>
          <w:rStyle w:val="Seitenzahl"/>
          <w:lang w:val="en-US"/>
        </w:rPr>
        <w:t>a number of</w:t>
      </w:r>
      <w:proofErr w:type="gramEnd"/>
      <w:r w:rsidR="00765C24" w:rsidRPr="00C17245">
        <w:rPr>
          <w:rStyle w:val="Seitenzahl"/>
          <w:lang w:val="en-US"/>
        </w:rPr>
        <w:t xml:space="preserve"> areas of activity, </w:t>
      </w:r>
      <w:r w:rsidR="005872FC" w:rsidRPr="00C17245">
        <w:rPr>
          <w:rStyle w:val="Seitenzahl"/>
          <w:lang w:val="en-US"/>
        </w:rPr>
        <w:t xml:space="preserve">within </w:t>
      </w:r>
      <w:r w:rsidR="005872FC">
        <w:rPr>
          <w:rStyle w:val="Seitenzahl"/>
          <w:lang w:val="en-US"/>
        </w:rPr>
        <w:t>the</w:t>
      </w:r>
      <w:r w:rsidR="005872FC" w:rsidRPr="00C17245">
        <w:rPr>
          <w:rStyle w:val="Seitenzahl"/>
          <w:lang w:val="en-US"/>
        </w:rPr>
        <w:t xml:space="preserve"> ministry </w:t>
      </w:r>
      <w:r w:rsidR="00765C24" w:rsidRPr="00C17245">
        <w:rPr>
          <w:rStyle w:val="Seitenzahl"/>
          <w:lang w:val="en-US"/>
        </w:rPr>
        <w:t xml:space="preserve">the system units have similar processes, </w:t>
      </w:r>
      <w:r w:rsidR="005872FC">
        <w:rPr>
          <w:rStyle w:val="Seitenzahl"/>
          <w:lang w:val="en-US"/>
        </w:rPr>
        <w:t xml:space="preserve">that </w:t>
      </w:r>
      <w:r w:rsidR="00765C24" w:rsidRPr="00C17245">
        <w:rPr>
          <w:rStyle w:val="Seitenzahl"/>
          <w:lang w:val="en-US"/>
        </w:rPr>
        <w:t>should preferably be carried out through similar and unified procedures. This will facilitate the thorough preparation of the Ministry's consolidated financial statements and ensure</w:t>
      </w:r>
      <w:r w:rsidR="005872FC">
        <w:rPr>
          <w:rStyle w:val="Seitenzahl"/>
          <w:lang w:val="en-US"/>
        </w:rPr>
        <w:t>,</w:t>
      </w:r>
      <w:r w:rsidR="00765C24" w:rsidRPr="00C17245">
        <w:rPr>
          <w:rStyle w:val="Seitenzahl"/>
          <w:lang w:val="en-US"/>
        </w:rPr>
        <w:t xml:space="preserve"> that similar processes are uniformly reflected and resolved in the consolidated financial statements. This will also contribute to the transparency of accounting </w:t>
      </w:r>
      <w:r w:rsidR="002E1B5B" w:rsidRPr="00C17245">
        <w:rPr>
          <w:rStyle w:val="Seitenzahl"/>
          <w:lang w:val="en-US"/>
        </w:rPr>
        <w:t>processes;</w:t>
      </w:r>
      <w:r w:rsidR="00765C24" w:rsidRPr="00C17245">
        <w:rPr>
          <w:rStyle w:val="Seitenzahl"/>
          <w:lang w:val="en-US"/>
        </w:rPr>
        <w:t xml:space="preserve"> the processes will become more understandable at the execution stage and the risks of technical errors at different stages will be significantly reduced. Monitoring and control capabilities will also be significantly improved.</w:t>
      </w:r>
      <w:r w:rsidR="00243158" w:rsidRPr="00C17245">
        <w:rPr>
          <w:rStyle w:val="Seitenzahl"/>
          <w:lang w:val="en-US"/>
        </w:rPr>
        <w:t xml:space="preserve"> </w:t>
      </w:r>
    </w:p>
    <w:p w:rsidR="00765C24" w:rsidRPr="00C17245" w:rsidRDefault="005872FC" w:rsidP="007176B7">
      <w:pPr>
        <w:spacing w:after="200" w:line="360" w:lineRule="auto"/>
        <w:ind w:right="919"/>
        <w:rPr>
          <w:rStyle w:val="Seitenzahl"/>
          <w:lang w:val="en-US"/>
        </w:rPr>
      </w:pPr>
      <w:r>
        <w:rPr>
          <w:rStyle w:val="Seitenzahl"/>
          <w:lang w:val="en-US"/>
        </w:rPr>
        <w:t>Tasks to be performed</w:t>
      </w:r>
      <w:r w:rsidR="00243158" w:rsidRPr="005872FC">
        <w:rPr>
          <w:rStyle w:val="Seitenzahl"/>
          <w:lang w:val="en-US"/>
        </w:rPr>
        <w:t>:</w:t>
      </w:r>
    </w:p>
    <w:p w:rsidR="00765C24" w:rsidRPr="00C17245" w:rsidRDefault="00765C24" w:rsidP="006C6C9C">
      <w:pPr>
        <w:pStyle w:val="Listenabsatz"/>
        <w:numPr>
          <w:ilvl w:val="0"/>
          <w:numId w:val="2"/>
        </w:numPr>
        <w:spacing w:after="160" w:line="360" w:lineRule="auto"/>
        <w:jc w:val="both"/>
        <w:rPr>
          <w:rFonts w:eastAsiaTheme="minorHAnsi" w:cstheme="minorBidi"/>
          <w:szCs w:val="22"/>
          <w:lang w:val="en-US"/>
        </w:rPr>
      </w:pPr>
      <w:r w:rsidRPr="00C17245">
        <w:rPr>
          <w:szCs w:val="22"/>
          <w:lang w:val="en-US"/>
        </w:rPr>
        <w:t>Define the main principles, methods, foundations and assumptions that are used to ensure the preparation and presentation transparent and accurate accounting and reporting of public funds during financial reporting based on the instructions approved by the order No. 108 of the Minister of Finance of Georgia regarding the maintenance of financial accounting and reporting in accordance with International Public Sector Accounting Standards and International Accounting Standards by public sector budgetary organizations</w:t>
      </w:r>
      <w:r w:rsidR="00E903E6">
        <w:rPr>
          <w:szCs w:val="22"/>
          <w:lang w:val="en-US"/>
        </w:rPr>
        <w:t>;</w:t>
      </w:r>
    </w:p>
    <w:p w:rsidR="00765C24" w:rsidRPr="00C17245" w:rsidRDefault="00765C24" w:rsidP="006C6C9C">
      <w:pPr>
        <w:pStyle w:val="Listenabsatz"/>
        <w:numPr>
          <w:ilvl w:val="0"/>
          <w:numId w:val="2"/>
        </w:numPr>
        <w:spacing w:after="160" w:line="360" w:lineRule="auto"/>
        <w:jc w:val="both"/>
        <w:rPr>
          <w:szCs w:val="22"/>
          <w:lang w:val="en-US"/>
        </w:rPr>
      </w:pPr>
      <w:r w:rsidRPr="00C17245">
        <w:rPr>
          <w:szCs w:val="22"/>
          <w:lang w:val="en-US"/>
        </w:rPr>
        <w:t>Establish unit positions and approaches during the recognition, measurement and presentation of separate economical events and items represented in the financial statements - assets, liabilities, income and expenses</w:t>
      </w:r>
      <w:r w:rsidR="00E903E6">
        <w:rPr>
          <w:szCs w:val="22"/>
          <w:lang w:val="en-US"/>
        </w:rPr>
        <w:t>;</w:t>
      </w:r>
    </w:p>
    <w:p w:rsidR="00765C24" w:rsidRPr="00C17245" w:rsidRDefault="00765C24" w:rsidP="006C6C9C">
      <w:pPr>
        <w:pStyle w:val="Listenabsatz"/>
        <w:numPr>
          <w:ilvl w:val="0"/>
          <w:numId w:val="2"/>
        </w:numPr>
        <w:spacing w:after="160" w:line="360" w:lineRule="auto"/>
        <w:jc w:val="both"/>
        <w:rPr>
          <w:szCs w:val="22"/>
          <w:lang w:val="en-US"/>
        </w:rPr>
      </w:pPr>
      <w:r w:rsidRPr="00C17245">
        <w:rPr>
          <w:szCs w:val="22"/>
          <w:lang w:val="en-US"/>
        </w:rPr>
        <w:t xml:space="preserve">Design the unified principles for the preparation of the Consolidated Financial Statements for the similar transactions and other events occurring under the same situations in the </w:t>
      </w:r>
      <w:r w:rsidR="00770A70">
        <w:rPr>
          <w:rStyle w:val="Seitenzahl"/>
          <w:lang w:val="en-US"/>
        </w:rPr>
        <w:t>MRDI</w:t>
      </w:r>
      <w:r w:rsidR="00770A70" w:rsidRPr="00C17245">
        <w:rPr>
          <w:szCs w:val="22"/>
          <w:lang w:val="en-US"/>
        </w:rPr>
        <w:t xml:space="preserve"> </w:t>
      </w:r>
      <w:r w:rsidRPr="00C17245">
        <w:rPr>
          <w:szCs w:val="22"/>
          <w:lang w:val="en-US"/>
        </w:rPr>
        <w:t>and its three units</w:t>
      </w:r>
      <w:r w:rsidR="008C7AEC" w:rsidRPr="008C7AEC">
        <w:rPr>
          <w:szCs w:val="22"/>
          <w:lang w:val="en-US"/>
        </w:rPr>
        <w:t xml:space="preserve">: </w:t>
      </w:r>
      <w:r w:rsidR="00AE2BF9" w:rsidRPr="00AE2BF9">
        <w:rPr>
          <w:szCs w:val="22"/>
          <w:lang w:val="en-US"/>
        </w:rPr>
        <w:t>Department of road</w:t>
      </w:r>
      <w:r w:rsidR="00AE2BF9">
        <w:rPr>
          <w:rFonts w:ascii="Sylfaen" w:hAnsi="Sylfaen"/>
          <w:szCs w:val="22"/>
          <w:lang w:val="en-US"/>
        </w:rPr>
        <w:t>s</w:t>
      </w:r>
      <w:r w:rsidR="008C7AEC">
        <w:rPr>
          <w:szCs w:val="22"/>
          <w:lang w:val="en-US"/>
        </w:rPr>
        <w:t>, LEPL Municipal Development Fund and</w:t>
      </w:r>
      <w:r w:rsidR="008C7AEC" w:rsidRPr="008C7AEC">
        <w:rPr>
          <w:lang w:val="en"/>
        </w:rPr>
        <w:t xml:space="preserve"> </w:t>
      </w:r>
      <w:r w:rsidR="00AE2BF9">
        <w:rPr>
          <w:lang w:val="en"/>
        </w:rPr>
        <w:t xml:space="preserve">LEPL </w:t>
      </w:r>
      <w:r w:rsidR="008C7AEC" w:rsidRPr="008C7AEC">
        <w:rPr>
          <w:szCs w:val="22"/>
          <w:lang w:val="en"/>
        </w:rPr>
        <w:t xml:space="preserve">Eurasian Transport Corridor Investment </w:t>
      </w:r>
      <w:proofErr w:type="gramStart"/>
      <w:r w:rsidR="008C7AEC" w:rsidRPr="008C7AEC">
        <w:rPr>
          <w:szCs w:val="22"/>
          <w:lang w:val="en"/>
        </w:rPr>
        <w:t>Fund</w:t>
      </w:r>
      <w:r w:rsidR="008C7AEC">
        <w:rPr>
          <w:szCs w:val="22"/>
          <w:lang w:val="en-US"/>
        </w:rPr>
        <w:t xml:space="preserve"> </w:t>
      </w:r>
      <w:r w:rsidR="00E903E6">
        <w:rPr>
          <w:szCs w:val="22"/>
          <w:lang w:val="en-US"/>
        </w:rPr>
        <w:t>;</w:t>
      </w:r>
      <w:proofErr w:type="gramEnd"/>
    </w:p>
    <w:p w:rsidR="00765C24" w:rsidRPr="00C17245" w:rsidRDefault="00765C24" w:rsidP="006C6C9C">
      <w:pPr>
        <w:pStyle w:val="Listenabsatz"/>
        <w:numPr>
          <w:ilvl w:val="0"/>
          <w:numId w:val="2"/>
        </w:numPr>
        <w:spacing w:after="160" w:line="360" w:lineRule="auto"/>
        <w:jc w:val="both"/>
        <w:rPr>
          <w:szCs w:val="22"/>
          <w:lang w:val="en-US"/>
        </w:rPr>
      </w:pPr>
      <w:r w:rsidRPr="00C17245">
        <w:rPr>
          <w:szCs w:val="22"/>
          <w:lang w:val="en-US"/>
        </w:rPr>
        <w:t>Identify specific issues that are not regulated by the Georgian Public Sector Accounting Methodology and IPSAS Standards, develop and approve respective methodology</w:t>
      </w:r>
      <w:r w:rsidR="00E903E6">
        <w:rPr>
          <w:szCs w:val="22"/>
          <w:lang w:val="en-US"/>
        </w:rPr>
        <w:t>;</w:t>
      </w:r>
    </w:p>
    <w:p w:rsidR="00765C24" w:rsidRPr="00C17245" w:rsidRDefault="00765C24" w:rsidP="006C6C9C">
      <w:pPr>
        <w:pStyle w:val="Listenabsatz"/>
        <w:numPr>
          <w:ilvl w:val="0"/>
          <w:numId w:val="2"/>
        </w:numPr>
        <w:spacing w:after="160" w:line="360" w:lineRule="auto"/>
        <w:jc w:val="both"/>
        <w:rPr>
          <w:szCs w:val="22"/>
          <w:lang w:val="en-US"/>
        </w:rPr>
      </w:pPr>
      <w:r w:rsidRPr="00C17245">
        <w:rPr>
          <w:szCs w:val="22"/>
          <w:lang w:val="en-US"/>
        </w:rPr>
        <w:t>Design of the Working Chart of Accounts in accordance with IPSAS and Chart of Accounts approved by Order #17 of the Ministry of Finance of Georgia dated 15 January 2020, to ensure compliance with: Georgian budget classification requirements, management reporting and analyzing accounting rules and terms, rules for preparation of statistical and other reports, and internal control system requirements</w:t>
      </w:r>
      <w:r w:rsidR="00E903E6">
        <w:rPr>
          <w:szCs w:val="22"/>
          <w:lang w:val="en-US"/>
        </w:rPr>
        <w:t>;</w:t>
      </w:r>
    </w:p>
    <w:p w:rsidR="00765C24" w:rsidRPr="00C17245" w:rsidRDefault="00765C24" w:rsidP="006C6C9C">
      <w:pPr>
        <w:pStyle w:val="Listenabsatz"/>
        <w:numPr>
          <w:ilvl w:val="0"/>
          <w:numId w:val="2"/>
        </w:numPr>
        <w:spacing w:after="160" w:line="360" w:lineRule="auto"/>
        <w:jc w:val="both"/>
        <w:rPr>
          <w:szCs w:val="22"/>
          <w:lang w:val="en-US"/>
        </w:rPr>
      </w:pPr>
      <w:r w:rsidRPr="00C17245">
        <w:rPr>
          <w:szCs w:val="22"/>
          <w:lang w:val="en-US"/>
        </w:rPr>
        <w:t>Define Accounting and Reporting methods and principles of the projects required by International Agreements (including the preparation phase)</w:t>
      </w:r>
      <w:r w:rsidR="00E903E6">
        <w:rPr>
          <w:szCs w:val="22"/>
          <w:lang w:val="en-US"/>
        </w:rPr>
        <w:t>;</w:t>
      </w:r>
    </w:p>
    <w:p w:rsidR="00765C24" w:rsidRDefault="00765C24" w:rsidP="006C6C9C">
      <w:pPr>
        <w:pStyle w:val="Listenabsatz"/>
        <w:numPr>
          <w:ilvl w:val="0"/>
          <w:numId w:val="2"/>
        </w:numPr>
        <w:spacing w:after="160" w:line="360" w:lineRule="auto"/>
        <w:jc w:val="both"/>
        <w:rPr>
          <w:szCs w:val="22"/>
          <w:lang w:val="en-US"/>
        </w:rPr>
      </w:pPr>
      <w:r w:rsidRPr="00C17245">
        <w:rPr>
          <w:szCs w:val="22"/>
          <w:lang w:val="en-US"/>
        </w:rPr>
        <w:t>Reflect the principles of Accounting Policy in the Financial Statement forms and related disclosure notes of budgetary organizations</w:t>
      </w:r>
      <w:r w:rsidR="000F63C4">
        <w:rPr>
          <w:szCs w:val="22"/>
          <w:lang w:val="en-US"/>
        </w:rPr>
        <w:t>;</w:t>
      </w:r>
    </w:p>
    <w:p w:rsidR="000F63C4" w:rsidRPr="000F63C4" w:rsidRDefault="000F63C4" w:rsidP="000F63C4">
      <w:pPr>
        <w:pStyle w:val="Listenabsatz"/>
        <w:numPr>
          <w:ilvl w:val="0"/>
          <w:numId w:val="2"/>
        </w:numPr>
        <w:spacing w:after="160" w:line="360" w:lineRule="auto"/>
        <w:jc w:val="both"/>
        <w:rPr>
          <w:szCs w:val="22"/>
          <w:lang w:val="en-US"/>
        </w:rPr>
      </w:pPr>
      <w:r w:rsidRPr="000F63C4">
        <w:rPr>
          <w:szCs w:val="22"/>
          <w:lang w:val="en-US"/>
        </w:rPr>
        <w:t>Support MRDI to establish knowledge management structures on IPSAS</w:t>
      </w:r>
      <w:r>
        <w:rPr>
          <w:szCs w:val="22"/>
          <w:lang w:val="en-US"/>
        </w:rPr>
        <w:t>;</w:t>
      </w:r>
    </w:p>
    <w:p w:rsidR="000F63C4" w:rsidRPr="00C17245" w:rsidRDefault="000F63C4" w:rsidP="000F63C4">
      <w:pPr>
        <w:pStyle w:val="Listenabsatz"/>
        <w:numPr>
          <w:ilvl w:val="0"/>
          <w:numId w:val="2"/>
        </w:numPr>
        <w:spacing w:after="160" w:line="360" w:lineRule="auto"/>
        <w:jc w:val="both"/>
        <w:rPr>
          <w:szCs w:val="22"/>
          <w:lang w:val="en-US"/>
        </w:rPr>
      </w:pPr>
      <w:r w:rsidRPr="000F63C4">
        <w:rPr>
          <w:szCs w:val="22"/>
          <w:lang w:val="en-US"/>
        </w:rPr>
        <w:t xml:space="preserve">Define and provide recommendations for minimum qualification criteria and training needs for staff responsible for IPSAS. Especially new appointed staff who will </w:t>
      </w:r>
      <w:proofErr w:type="spellStart"/>
      <w:r w:rsidRPr="000F63C4">
        <w:rPr>
          <w:szCs w:val="22"/>
          <w:lang w:val="en-US"/>
        </w:rPr>
        <w:t>no</w:t>
      </w:r>
      <w:proofErr w:type="spellEnd"/>
      <w:r w:rsidRPr="000F63C4">
        <w:rPr>
          <w:szCs w:val="22"/>
          <w:lang w:val="en-US"/>
        </w:rPr>
        <w:t xml:space="preserve"> be present during the current exercise will have these needs.</w:t>
      </w:r>
    </w:p>
    <w:p w:rsidR="00765C24" w:rsidRPr="00EC6A88" w:rsidRDefault="00C17245" w:rsidP="006C6C9C">
      <w:pPr>
        <w:spacing w:line="360" w:lineRule="auto"/>
        <w:jc w:val="both"/>
        <w:rPr>
          <w:rFonts w:eastAsiaTheme="minorHAnsi" w:cs="Arial"/>
          <w:szCs w:val="22"/>
          <w:lang w:val="en-US" w:eastAsia="en-US"/>
        </w:rPr>
      </w:pPr>
      <w:r>
        <w:rPr>
          <w:rFonts w:eastAsiaTheme="minorHAnsi" w:cs="Arial"/>
          <w:b/>
          <w:szCs w:val="22"/>
          <w:lang w:val="en-US" w:eastAsia="en-US"/>
        </w:rPr>
        <w:t xml:space="preserve">3.2. </w:t>
      </w:r>
      <w:r w:rsidR="00765C24" w:rsidRPr="00EC6A88">
        <w:rPr>
          <w:rFonts w:eastAsiaTheme="minorHAnsi" w:cs="Arial"/>
          <w:szCs w:val="22"/>
          <w:lang w:val="en-US" w:eastAsia="en-US"/>
        </w:rPr>
        <w:t>Examine and</w:t>
      </w:r>
      <w:r w:rsidR="000F63C4">
        <w:rPr>
          <w:rFonts w:eastAsiaTheme="minorHAnsi" w:cs="Arial"/>
          <w:szCs w:val="22"/>
          <w:lang w:val="en-US" w:eastAsia="en-US"/>
        </w:rPr>
        <w:t xml:space="preserve"> give recommendation for</w:t>
      </w:r>
      <w:r w:rsidR="00765C24" w:rsidRPr="00EC6A88">
        <w:rPr>
          <w:rFonts w:eastAsiaTheme="minorHAnsi" w:cs="Arial"/>
          <w:szCs w:val="22"/>
          <w:lang w:val="en-US" w:eastAsia="en-US"/>
        </w:rPr>
        <w:t xml:space="preserve"> improve</w:t>
      </w:r>
      <w:r w:rsidR="000F63C4">
        <w:rPr>
          <w:rFonts w:eastAsiaTheme="minorHAnsi" w:cs="Arial"/>
          <w:szCs w:val="22"/>
          <w:lang w:val="en-US" w:eastAsia="en-US"/>
        </w:rPr>
        <w:t>ment</w:t>
      </w:r>
      <w:r w:rsidR="00765C24" w:rsidRPr="00EC6A88">
        <w:rPr>
          <w:rFonts w:eastAsiaTheme="minorHAnsi" w:cs="Arial"/>
          <w:szCs w:val="22"/>
          <w:lang w:val="en-US" w:eastAsia="en-US"/>
        </w:rPr>
        <w:t xml:space="preserve"> internal control systems in the </w:t>
      </w:r>
      <w:r w:rsidR="00770A70">
        <w:rPr>
          <w:rStyle w:val="Seitenzahl"/>
          <w:lang w:val="en-US"/>
        </w:rPr>
        <w:t>MRDI</w:t>
      </w:r>
      <w:r w:rsidR="00770A70" w:rsidRPr="00EC6A88">
        <w:rPr>
          <w:rFonts w:eastAsiaTheme="minorHAnsi" w:cs="Arial"/>
          <w:szCs w:val="22"/>
          <w:lang w:val="en-US" w:eastAsia="en-US"/>
        </w:rPr>
        <w:t xml:space="preserve"> </w:t>
      </w:r>
      <w:r w:rsidR="00765C24" w:rsidRPr="00EC6A88">
        <w:rPr>
          <w:rFonts w:eastAsiaTheme="minorHAnsi" w:cs="Arial"/>
          <w:szCs w:val="22"/>
          <w:lang w:val="en-US" w:eastAsia="en-US"/>
        </w:rPr>
        <w:t>and its three units, using the international methodology "Best Practice" and COSO (Committee of Sponsoring Organizations of the Treadway Commission) methodology</w:t>
      </w:r>
      <w:r w:rsidR="00B83F8F">
        <w:rPr>
          <w:rFonts w:eastAsiaTheme="minorHAnsi" w:cs="Arial"/>
          <w:szCs w:val="22"/>
          <w:lang w:val="en-US" w:eastAsia="en-US"/>
        </w:rPr>
        <w:t>:</w:t>
      </w:r>
    </w:p>
    <w:p w:rsidR="00C17245" w:rsidRPr="00C17245" w:rsidRDefault="00C17245" w:rsidP="006C6C9C">
      <w:pPr>
        <w:spacing w:line="360" w:lineRule="auto"/>
        <w:jc w:val="both"/>
        <w:rPr>
          <w:rFonts w:eastAsiaTheme="minorHAnsi" w:cs="Arial"/>
          <w:b/>
          <w:szCs w:val="22"/>
          <w:lang w:val="en-US" w:eastAsia="en-US"/>
        </w:rPr>
      </w:pP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Study the unit specifics and its operating environment</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Describe existing processes, policies and procedures</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Select main business processes</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Identify and evaluate the risks of selected</w:t>
      </w:r>
      <w:r w:rsidRPr="003768EB">
        <w:rPr>
          <w:i/>
          <w:iCs/>
          <w:szCs w:val="22"/>
          <w:lang w:val="en-US"/>
        </w:rPr>
        <w:t> </w:t>
      </w:r>
      <w:r w:rsidRPr="00C17245">
        <w:rPr>
          <w:szCs w:val="22"/>
          <w:lang w:val="en-US"/>
        </w:rPr>
        <w:t>processes</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Evaluate effectiveness of existing processes and control mechanisms</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List missing controls and controls that do not mitigate the corresponding risks</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Identify the key controls to be tested</w:t>
      </w:r>
      <w:r w:rsidR="00B83F8F">
        <w:rPr>
          <w:szCs w:val="22"/>
          <w:lang w:val="en-US"/>
        </w:rPr>
        <w:t>;</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Validating and evaluating the effectiveness of key controls</w:t>
      </w:r>
      <w:r w:rsidR="00B83F8F">
        <w:rPr>
          <w:szCs w:val="22"/>
          <w:lang w:val="en-US"/>
        </w:rPr>
        <w:t>;</w:t>
      </w:r>
      <w:r w:rsidRPr="00C17245">
        <w:rPr>
          <w:szCs w:val="22"/>
          <w:lang w:val="en-US"/>
        </w:rPr>
        <w:t xml:space="preserve"> </w:t>
      </w:r>
    </w:p>
    <w:p w:rsidR="00765C24" w:rsidRPr="00C17245" w:rsidRDefault="00765C24" w:rsidP="006C6C9C">
      <w:pPr>
        <w:pStyle w:val="Listenabsatz"/>
        <w:numPr>
          <w:ilvl w:val="0"/>
          <w:numId w:val="4"/>
        </w:numPr>
        <w:spacing w:after="160" w:line="360" w:lineRule="auto"/>
        <w:jc w:val="both"/>
        <w:rPr>
          <w:szCs w:val="22"/>
          <w:lang w:val="en-US"/>
        </w:rPr>
      </w:pPr>
      <w:r w:rsidRPr="00C17245">
        <w:rPr>
          <w:szCs w:val="22"/>
          <w:lang w:val="en-US"/>
        </w:rPr>
        <w:t xml:space="preserve">Presentation and comparative analysis of the mandatory and </w:t>
      </w:r>
      <w:proofErr w:type="gramStart"/>
      <w:r w:rsidRPr="00C17245">
        <w:rPr>
          <w:szCs w:val="22"/>
          <w:lang w:val="en-US"/>
        </w:rPr>
        <w:t>sufficient</w:t>
      </w:r>
      <w:proofErr w:type="gramEnd"/>
      <w:r w:rsidRPr="00C17245">
        <w:rPr>
          <w:szCs w:val="22"/>
          <w:lang w:val="en-US"/>
        </w:rPr>
        <w:t xml:space="preserve"> procedures based on operational risk management system, in accordance with the existing control mechanisms for the selected processes and "best practice" methods</w:t>
      </w:r>
      <w:r w:rsidR="00B83F8F">
        <w:rPr>
          <w:szCs w:val="22"/>
          <w:lang w:val="en-US"/>
        </w:rPr>
        <w:t>;</w:t>
      </w:r>
    </w:p>
    <w:p w:rsidR="00765C24" w:rsidRPr="00C17245" w:rsidRDefault="00765C24" w:rsidP="006C6C9C">
      <w:pPr>
        <w:pStyle w:val="Listenabsatz"/>
        <w:numPr>
          <w:ilvl w:val="0"/>
          <w:numId w:val="4"/>
        </w:numPr>
        <w:spacing w:after="160" w:line="360" w:lineRule="auto"/>
        <w:jc w:val="both"/>
        <w:rPr>
          <w:rFonts w:cs="Arial"/>
          <w:szCs w:val="22"/>
          <w:lang w:val="en-US"/>
        </w:rPr>
      </w:pPr>
      <w:r w:rsidRPr="00C17245">
        <w:rPr>
          <w:szCs w:val="22"/>
          <w:lang w:val="en-US"/>
        </w:rPr>
        <w:t xml:space="preserve">Development of recommendations and instructions to improve control environment </w:t>
      </w:r>
      <w:r w:rsidRPr="00C17245">
        <w:rPr>
          <w:rFonts w:cs="Arial"/>
          <w:szCs w:val="22"/>
          <w:lang w:val="en-US"/>
        </w:rPr>
        <w:t>and existing procedures</w:t>
      </w:r>
      <w:r w:rsidR="00B83F8F">
        <w:rPr>
          <w:rFonts w:cs="Arial"/>
          <w:szCs w:val="22"/>
          <w:lang w:val="en-US"/>
        </w:rPr>
        <w:t>.</w:t>
      </w:r>
    </w:p>
    <w:p w:rsidR="00765C24" w:rsidRPr="00C17245" w:rsidRDefault="00765C24" w:rsidP="00765C24">
      <w:pPr>
        <w:jc w:val="both"/>
        <w:rPr>
          <w:rFonts w:cs="Arial"/>
          <w:szCs w:val="22"/>
          <w:lang w:val="en-US"/>
        </w:rPr>
      </w:pPr>
    </w:p>
    <w:p w:rsidR="00765C24" w:rsidRDefault="00765C24" w:rsidP="00765C24">
      <w:pPr>
        <w:jc w:val="both"/>
        <w:rPr>
          <w:sz w:val="18"/>
          <w:szCs w:val="18"/>
          <w:lang w:val="en-US"/>
        </w:rPr>
      </w:pPr>
      <w:r w:rsidRPr="00C17245">
        <w:rPr>
          <w:rFonts w:cs="Arial"/>
          <w:b/>
          <w:szCs w:val="22"/>
          <w:lang w:val="en-US"/>
        </w:rPr>
        <w:t>Note: The document shall not contradict the requirements of laws and regulations in force in Georgia</w:t>
      </w:r>
      <w:r>
        <w:rPr>
          <w:rFonts w:ascii="Sylfaen" w:hAnsi="Sylfaen"/>
          <w:b/>
          <w:sz w:val="18"/>
          <w:szCs w:val="18"/>
          <w:lang w:val="en-US"/>
        </w:rPr>
        <w:t>.</w:t>
      </w:r>
    </w:p>
    <w:p w:rsidR="00765C24" w:rsidRDefault="00765C24" w:rsidP="00765C24">
      <w:pPr>
        <w:jc w:val="both"/>
        <w:rPr>
          <w:sz w:val="18"/>
          <w:szCs w:val="18"/>
          <w:lang w:val="en-US"/>
        </w:rPr>
      </w:pPr>
    </w:p>
    <w:p w:rsidR="00765C24" w:rsidRDefault="00765C24" w:rsidP="007176B7">
      <w:pPr>
        <w:spacing w:after="200" w:line="360" w:lineRule="auto"/>
        <w:ind w:right="919"/>
        <w:rPr>
          <w:rFonts w:eastAsiaTheme="minorHAnsi" w:cs="Arial"/>
          <w:szCs w:val="22"/>
          <w:lang w:val="en-US" w:eastAsia="en-US"/>
        </w:rPr>
      </w:pPr>
    </w:p>
    <w:p w:rsidR="00765C24" w:rsidRDefault="00C17245" w:rsidP="00AA33C6">
      <w:pPr>
        <w:spacing w:after="200" w:line="276" w:lineRule="auto"/>
        <w:ind w:right="919"/>
        <w:rPr>
          <w:rFonts w:eastAsiaTheme="minorHAnsi" w:cs="Arial"/>
          <w:szCs w:val="22"/>
          <w:lang w:val="en-US" w:eastAsia="en-US"/>
        </w:rPr>
      </w:pPr>
      <w:r w:rsidRPr="00C17245">
        <w:rPr>
          <w:rFonts w:eastAsiaTheme="minorHAnsi" w:cs="Arial"/>
          <w:b/>
          <w:szCs w:val="22"/>
          <w:lang w:val="en-US" w:eastAsia="en-US"/>
        </w:rPr>
        <w:t>4. Reporting</w:t>
      </w:r>
    </w:p>
    <w:p w:rsidR="00C17245" w:rsidRDefault="00C17245" w:rsidP="000F63C4">
      <w:pPr>
        <w:spacing w:after="200" w:line="360" w:lineRule="auto"/>
        <w:ind w:right="919"/>
        <w:jc w:val="both"/>
        <w:rPr>
          <w:rStyle w:val="Seitenzahl"/>
          <w:lang w:val="en-US"/>
        </w:rPr>
      </w:pPr>
      <w:r>
        <w:rPr>
          <w:rStyle w:val="Seitenzahl"/>
          <w:lang w:val="en-US"/>
        </w:rPr>
        <w:t xml:space="preserve">4.1. </w:t>
      </w:r>
      <w:r w:rsidRPr="00C17245">
        <w:rPr>
          <w:rStyle w:val="Seitenzahl"/>
          <w:lang w:val="en-US"/>
        </w:rPr>
        <w:t xml:space="preserve">Submit mid-term and final reports on project implementation. Reports should also include the assessment and analysis of strength and weaknesses and respective recommendations </w:t>
      </w:r>
      <w:r w:rsidR="00B83F8F" w:rsidRPr="00C17245">
        <w:rPr>
          <w:rStyle w:val="Seitenzahl"/>
          <w:lang w:val="en-US"/>
        </w:rPr>
        <w:t>regarding</w:t>
      </w:r>
      <w:r w:rsidRPr="00C17245">
        <w:rPr>
          <w:rStyle w:val="Seitenzahl"/>
          <w:lang w:val="en-US"/>
        </w:rPr>
        <w:t xml:space="preserve"> the changes to be made for the next fiscal year. </w:t>
      </w:r>
      <w:r w:rsidR="000F63C4" w:rsidRPr="000F63C4">
        <w:rPr>
          <w:lang w:val="en-US"/>
        </w:rPr>
        <w:t xml:space="preserve">Provision of a PPT in English and presentation of results with recommendations on </w:t>
      </w:r>
      <w:proofErr w:type="spellStart"/>
      <w:r w:rsidR="000F63C4" w:rsidRPr="000F63C4">
        <w:rPr>
          <w:lang w:val="en-US"/>
        </w:rPr>
        <w:t>systemtic</w:t>
      </w:r>
      <w:proofErr w:type="spellEnd"/>
      <w:r w:rsidR="000F63C4" w:rsidRPr="000F63C4">
        <w:rPr>
          <w:lang w:val="en-US"/>
        </w:rPr>
        <w:t xml:space="preserve"> changes to be made. On demand of GGLD for MRDI.</w:t>
      </w:r>
    </w:p>
    <w:p w:rsidR="00C17245" w:rsidRDefault="00C17245" w:rsidP="006C6C9C">
      <w:pPr>
        <w:spacing w:after="200" w:line="360" w:lineRule="auto"/>
        <w:ind w:right="919"/>
        <w:jc w:val="both"/>
        <w:rPr>
          <w:rStyle w:val="Seitenzahl"/>
          <w:lang w:val="en-US"/>
        </w:rPr>
      </w:pPr>
      <w:r>
        <w:rPr>
          <w:rStyle w:val="Seitenzahl"/>
          <w:lang w:val="en-US"/>
        </w:rPr>
        <w:t>4</w:t>
      </w:r>
      <w:r w:rsidRPr="00C17245">
        <w:rPr>
          <w:rStyle w:val="Seitenzahl"/>
          <w:lang w:val="en-US"/>
        </w:rPr>
        <w:t>.2.</w:t>
      </w:r>
      <w:r w:rsidR="00EE76D5">
        <w:rPr>
          <w:rStyle w:val="Seitenzahl"/>
          <w:lang w:val="en-US"/>
        </w:rPr>
        <w:t xml:space="preserve"> </w:t>
      </w:r>
      <w:r w:rsidRPr="00C17245">
        <w:rPr>
          <w:rStyle w:val="Seitenzahl"/>
          <w:lang w:val="en-US"/>
        </w:rPr>
        <w:t>Reporting shall be made in Georgian. Executive summary of the mid-term and final reports shall be also submitted in English. Final report shall be submitted in one document according to the structure and content defined by the terms of reference</w:t>
      </w:r>
      <w:r>
        <w:rPr>
          <w:rStyle w:val="Seitenzahl"/>
          <w:lang w:val="en-US"/>
        </w:rPr>
        <w:t>.</w:t>
      </w:r>
    </w:p>
    <w:p w:rsidR="00C17245" w:rsidRPr="003768EB" w:rsidRDefault="00C17245" w:rsidP="006C6C9C">
      <w:pPr>
        <w:spacing w:after="200" w:line="360" w:lineRule="auto"/>
        <w:ind w:right="919"/>
        <w:jc w:val="both"/>
        <w:rPr>
          <w:rFonts w:eastAsiaTheme="minorHAnsi" w:cs="Arial"/>
          <w:b/>
          <w:szCs w:val="22"/>
          <w:lang w:val="en-US" w:eastAsia="en-US"/>
        </w:rPr>
      </w:pPr>
      <w:r w:rsidRPr="003768EB">
        <w:rPr>
          <w:rFonts w:eastAsiaTheme="minorHAnsi" w:cs="Arial"/>
          <w:b/>
          <w:szCs w:val="22"/>
          <w:lang w:val="en-US" w:eastAsia="en-US"/>
        </w:rPr>
        <w:t>5. Other Terms</w:t>
      </w:r>
    </w:p>
    <w:p w:rsidR="00AA33C6" w:rsidRPr="00AA33C6" w:rsidRDefault="00AA33C6" w:rsidP="006C6C9C">
      <w:pPr>
        <w:spacing w:after="200" w:line="360" w:lineRule="auto"/>
        <w:ind w:right="919"/>
        <w:jc w:val="both"/>
        <w:rPr>
          <w:rStyle w:val="Seitenzahl"/>
          <w:lang w:val="en-US"/>
        </w:rPr>
      </w:pPr>
      <w:r>
        <w:rPr>
          <w:rStyle w:val="Seitenzahl"/>
          <w:lang w:val="en-US"/>
        </w:rPr>
        <w:t xml:space="preserve">5.1. </w:t>
      </w:r>
      <w:r w:rsidRPr="00AA33C6">
        <w:rPr>
          <w:rStyle w:val="Seitenzahl"/>
          <w:lang w:val="en-US"/>
        </w:rPr>
        <w:t xml:space="preserve">Service provider shall regularly provide information on results and perform all the assignments listed in the </w:t>
      </w:r>
      <w:proofErr w:type="spellStart"/>
      <w:r w:rsidRPr="00AA33C6">
        <w:rPr>
          <w:rStyle w:val="Seitenzahl"/>
          <w:lang w:val="en-US"/>
        </w:rPr>
        <w:t>ToR</w:t>
      </w:r>
      <w:proofErr w:type="spellEnd"/>
      <w:r w:rsidRPr="00AA33C6">
        <w:rPr>
          <w:rStyle w:val="Seitenzahl"/>
          <w:lang w:val="en-US"/>
        </w:rPr>
        <w:t xml:space="preserve"> in a close coordination and agreement with GIZ. </w:t>
      </w:r>
      <w:r>
        <w:rPr>
          <w:rStyle w:val="Seitenzahl"/>
          <w:lang w:val="en-US"/>
        </w:rPr>
        <w:t>5</w:t>
      </w:r>
      <w:r w:rsidRPr="00AA33C6">
        <w:rPr>
          <w:rStyle w:val="Seitenzahl"/>
          <w:lang w:val="en-US"/>
        </w:rPr>
        <w:t>.2.</w:t>
      </w:r>
      <w:r w:rsidR="00EE76D5">
        <w:rPr>
          <w:rStyle w:val="Seitenzahl"/>
          <w:lang w:val="en-US"/>
        </w:rPr>
        <w:t xml:space="preserve"> </w:t>
      </w:r>
      <w:r w:rsidRPr="00AA33C6">
        <w:rPr>
          <w:rStyle w:val="Seitenzahl"/>
          <w:lang w:val="en-US"/>
        </w:rPr>
        <w:t>During the performance of the assignment, service provider shall meet the personal data protection standards envisaged by the legislation.</w:t>
      </w:r>
    </w:p>
    <w:p w:rsidR="00C17245" w:rsidRDefault="00AA33C6" w:rsidP="00C17245">
      <w:pPr>
        <w:spacing w:after="200" w:line="276" w:lineRule="auto"/>
        <w:ind w:right="919"/>
        <w:rPr>
          <w:rStyle w:val="Seitenzahl"/>
          <w:b/>
          <w:lang w:val="en-US"/>
        </w:rPr>
      </w:pPr>
      <w:r w:rsidRPr="00AA33C6">
        <w:rPr>
          <w:rStyle w:val="Seitenzahl"/>
          <w:b/>
          <w:lang w:val="en-US"/>
        </w:rPr>
        <w:t>6. Submission and selection of proposal</w:t>
      </w:r>
    </w:p>
    <w:p w:rsidR="00EE76D5" w:rsidRPr="00C17245" w:rsidRDefault="00DD56F2" w:rsidP="006C6C9C">
      <w:pPr>
        <w:spacing w:after="200" w:line="360" w:lineRule="auto"/>
        <w:ind w:right="919"/>
        <w:jc w:val="both"/>
        <w:rPr>
          <w:rStyle w:val="Seitenzahl"/>
          <w:lang w:val="en-US"/>
        </w:rPr>
      </w:pPr>
      <w:r w:rsidRPr="00DD56F2">
        <w:rPr>
          <w:rStyle w:val="Seitenzahl"/>
          <w:lang w:val="en-US"/>
        </w:rPr>
        <w:t>Partner for the consultancy service will be selected based on a competition</w:t>
      </w:r>
      <w:r>
        <w:rPr>
          <w:rStyle w:val="Seitenzahl"/>
          <w:lang w:val="en-US"/>
        </w:rPr>
        <w:t xml:space="preserve"> </w:t>
      </w:r>
      <w:r w:rsidRPr="00DD56F2">
        <w:rPr>
          <w:rStyle w:val="Seitenzahl"/>
          <w:lang w:val="en-US"/>
        </w:rPr>
        <w:t>Entrepreneurial (LLC) and non-entrepreneurial legal entities (NLE, NPO),</w:t>
      </w:r>
      <w:r w:rsidR="0061480D">
        <w:rPr>
          <w:rStyle w:val="Seitenzahl"/>
          <w:lang w:val="en-US"/>
        </w:rPr>
        <w:t xml:space="preserve"> </w:t>
      </w:r>
      <w:r w:rsidRPr="00DD56F2">
        <w:rPr>
          <w:rStyle w:val="Seitenzahl"/>
          <w:lang w:val="en-US"/>
        </w:rPr>
        <w:t>NGOs/</w:t>
      </w:r>
      <w:proofErr w:type="spellStart"/>
      <w:r w:rsidRPr="00DD56F2">
        <w:rPr>
          <w:rStyle w:val="Seitenzahl"/>
          <w:lang w:val="en-US"/>
        </w:rPr>
        <w:t>CSOsare</w:t>
      </w:r>
      <w:proofErr w:type="spellEnd"/>
      <w:r w:rsidRPr="00DD56F2">
        <w:rPr>
          <w:rStyle w:val="Seitenzahl"/>
          <w:lang w:val="en-US"/>
        </w:rPr>
        <w:t xml:space="preserve"> eligible to participate in the competition. GIZ reserves the right to check the information indicated in the application. Application will be cancelled in case of inaccurate information.</w:t>
      </w:r>
    </w:p>
    <w:p w:rsidR="007176B7" w:rsidRDefault="00DD56F2" w:rsidP="006C6C9C">
      <w:pPr>
        <w:spacing w:after="200" w:line="360" w:lineRule="auto"/>
        <w:ind w:right="919"/>
        <w:jc w:val="both"/>
        <w:rPr>
          <w:rStyle w:val="Seitenzahl"/>
          <w:b/>
          <w:lang w:val="en-US"/>
        </w:rPr>
      </w:pPr>
      <w:r>
        <w:rPr>
          <w:rStyle w:val="Seitenzahl"/>
          <w:b/>
          <w:lang w:val="en-US"/>
        </w:rPr>
        <w:t>7.</w:t>
      </w:r>
      <w:r w:rsidRPr="00DD56F2">
        <w:rPr>
          <w:rStyle w:val="Seitenzahl"/>
          <w:b/>
          <w:lang w:val="en-US"/>
        </w:rPr>
        <w:t xml:space="preserve"> Selection criteria</w:t>
      </w:r>
    </w:p>
    <w:p w:rsidR="00C8418B" w:rsidRDefault="00DD56F2" w:rsidP="006C6C9C">
      <w:pPr>
        <w:numPr>
          <w:ilvl w:val="0"/>
          <w:numId w:val="7"/>
        </w:numPr>
        <w:spacing w:after="200" w:line="360" w:lineRule="auto"/>
        <w:ind w:right="919"/>
        <w:jc w:val="both"/>
        <w:rPr>
          <w:lang w:val="en-US"/>
        </w:rPr>
      </w:pPr>
      <w:r>
        <w:rPr>
          <w:lang w:val="en-US"/>
        </w:rPr>
        <w:t>T</w:t>
      </w:r>
      <w:r w:rsidRPr="00DD56F2">
        <w:rPr>
          <w:lang w:val="en-US"/>
        </w:rPr>
        <w:t>he technical proposal shall provide evidence of the organization's capabilities and assignment-related experience in executing similar projects</w:t>
      </w:r>
      <w:r w:rsidR="004F342A">
        <w:rPr>
          <w:lang w:val="en-US"/>
        </w:rPr>
        <w:t>;</w:t>
      </w:r>
      <w:r w:rsidR="00C8418B" w:rsidRPr="00C8418B">
        <w:rPr>
          <w:lang w:val="en-US"/>
        </w:rPr>
        <w:t xml:space="preserve"> </w:t>
      </w:r>
    </w:p>
    <w:p w:rsidR="006451D1" w:rsidRPr="005872FC" w:rsidRDefault="006451D1" w:rsidP="006C6C9C">
      <w:pPr>
        <w:numPr>
          <w:ilvl w:val="0"/>
          <w:numId w:val="7"/>
        </w:numPr>
        <w:spacing w:after="200" w:line="360" w:lineRule="auto"/>
        <w:ind w:right="919"/>
        <w:jc w:val="both"/>
        <w:rPr>
          <w:lang w:val="en-US"/>
        </w:rPr>
      </w:pPr>
      <w:r w:rsidRPr="00DD56F2">
        <w:rPr>
          <w:lang w:val="en-US"/>
        </w:rPr>
        <w:t>The supplier must be an auditing company registered on the website of the Service for Accounting, reporting and Auditing Supervision (saras.gov.ge)</w:t>
      </w:r>
      <w:r>
        <w:rPr>
          <w:lang w:val="en-US"/>
        </w:rPr>
        <w:t xml:space="preserve"> and</w:t>
      </w:r>
      <w:r w:rsidRPr="00DD56F2">
        <w:rPr>
          <w:lang w:val="en-US"/>
        </w:rPr>
        <w:t xml:space="preserve"> must have at least 2 years of experience in providing audit services, both in private and public sectors</w:t>
      </w:r>
      <w:r w:rsidR="00B83F8F">
        <w:rPr>
          <w:lang w:val="en-US"/>
        </w:rPr>
        <w:t>;</w:t>
      </w:r>
    </w:p>
    <w:p w:rsidR="006451D1" w:rsidRPr="006451D1" w:rsidRDefault="00C8418B" w:rsidP="006C6C9C">
      <w:pPr>
        <w:numPr>
          <w:ilvl w:val="0"/>
          <w:numId w:val="7"/>
        </w:numPr>
        <w:spacing w:after="200" w:line="360" w:lineRule="auto"/>
        <w:ind w:right="919"/>
        <w:jc w:val="both"/>
        <w:rPr>
          <w:lang w:val="en-US"/>
        </w:rPr>
      </w:pPr>
      <w:r w:rsidRPr="006451D1">
        <w:rPr>
          <w:lang w:val="en-US"/>
        </w:rPr>
        <w:t xml:space="preserve">The </w:t>
      </w:r>
      <w:proofErr w:type="gramStart"/>
      <w:r w:rsidRPr="006451D1">
        <w:rPr>
          <w:lang w:val="en-US"/>
        </w:rPr>
        <w:t>Supplier’s  staff</w:t>
      </w:r>
      <w:proofErr w:type="gramEnd"/>
      <w:r w:rsidRPr="006451D1">
        <w:rPr>
          <w:lang w:val="en-US"/>
        </w:rPr>
        <w:t xml:space="preserve"> shall have  experience of working in international audit companies. </w:t>
      </w:r>
      <w:r w:rsidR="006451D1" w:rsidRPr="006451D1">
        <w:rPr>
          <w:lang w:val="en-US"/>
        </w:rPr>
        <w:t xml:space="preserve">At least two employees presented by the supplier must have a public sector audit certificate issued by the LEPL Public Audit Institute. </w:t>
      </w:r>
      <w:r w:rsidRPr="006451D1">
        <w:rPr>
          <w:lang w:val="en-US"/>
        </w:rPr>
        <w:t>Reference to similar work/projects completed shall be included in his/her CV to be attached to the offer</w:t>
      </w:r>
      <w:r w:rsidR="004F342A" w:rsidRPr="006451D1">
        <w:rPr>
          <w:lang w:val="en-US"/>
        </w:rPr>
        <w:t>;</w:t>
      </w:r>
      <w:r w:rsidR="006451D1" w:rsidRPr="006451D1">
        <w:rPr>
          <w:lang w:val="en-US"/>
        </w:rPr>
        <w:t xml:space="preserve"> </w:t>
      </w:r>
    </w:p>
    <w:p w:rsidR="00C8418B" w:rsidRDefault="006451D1" w:rsidP="006C6C9C">
      <w:pPr>
        <w:numPr>
          <w:ilvl w:val="0"/>
          <w:numId w:val="7"/>
        </w:numPr>
        <w:spacing w:after="200" w:line="360" w:lineRule="auto"/>
        <w:ind w:right="919"/>
        <w:jc w:val="both"/>
        <w:rPr>
          <w:lang w:val="en-US"/>
        </w:rPr>
      </w:pPr>
      <w:r w:rsidRPr="00DD56F2">
        <w:rPr>
          <w:lang w:val="en-US"/>
        </w:rPr>
        <w:t>At least two employees presented by the supplier must have at least 7 years of experience</w:t>
      </w:r>
      <w:r w:rsidR="00245F6B" w:rsidRPr="00245F6B">
        <w:rPr>
          <w:lang w:val="en-US"/>
        </w:rPr>
        <w:t xml:space="preserve"> in auditing</w:t>
      </w:r>
      <w:r>
        <w:rPr>
          <w:lang w:val="en-US"/>
        </w:rPr>
        <w:t>;</w:t>
      </w:r>
    </w:p>
    <w:p w:rsidR="00C8418B" w:rsidRPr="00DD56F2" w:rsidRDefault="00C8418B" w:rsidP="006C6C9C">
      <w:pPr>
        <w:numPr>
          <w:ilvl w:val="0"/>
          <w:numId w:val="7"/>
        </w:numPr>
        <w:spacing w:after="200" w:line="360" w:lineRule="auto"/>
        <w:ind w:right="919"/>
        <w:jc w:val="both"/>
        <w:rPr>
          <w:lang w:val="en-US"/>
        </w:rPr>
      </w:pPr>
      <w:r w:rsidRPr="00DD56F2">
        <w:rPr>
          <w:lang w:val="en-US"/>
        </w:rPr>
        <w:t>Experience of the staff in the financial and compliance audits of the Ministry of Regional Development and Infrastructure of Georgia (MRDI), budget organizations in its system and the State-owned enterprises under MRDI control</w:t>
      </w:r>
      <w:r>
        <w:rPr>
          <w:lang w:val="en-US"/>
        </w:rPr>
        <w:t xml:space="preserve"> will be an advantage</w:t>
      </w:r>
      <w:r w:rsidR="004F342A">
        <w:rPr>
          <w:lang w:val="en-US"/>
        </w:rPr>
        <w:t>;</w:t>
      </w:r>
    </w:p>
    <w:p w:rsidR="00C8418B" w:rsidRDefault="00C8418B" w:rsidP="006C6C9C">
      <w:pPr>
        <w:numPr>
          <w:ilvl w:val="0"/>
          <w:numId w:val="7"/>
        </w:numPr>
        <w:spacing w:after="200" w:line="360" w:lineRule="auto"/>
        <w:ind w:right="919"/>
        <w:jc w:val="both"/>
        <w:rPr>
          <w:lang w:val="en-US"/>
        </w:rPr>
      </w:pPr>
      <w:r w:rsidRPr="00DD56F2">
        <w:rPr>
          <w:lang w:val="en-US"/>
        </w:rPr>
        <w:t>Experience of staff in the field of compliance and performance audit of infrastructure projects financed by international financial institutions</w:t>
      </w:r>
      <w:r>
        <w:rPr>
          <w:lang w:val="en-US"/>
        </w:rPr>
        <w:t xml:space="preserve"> will be an advantage</w:t>
      </w:r>
      <w:r w:rsidR="004F342A">
        <w:rPr>
          <w:lang w:val="en-US"/>
        </w:rPr>
        <w:t>;</w:t>
      </w:r>
    </w:p>
    <w:p w:rsidR="00C8418B" w:rsidRDefault="00DD56F2" w:rsidP="006C6C9C">
      <w:pPr>
        <w:numPr>
          <w:ilvl w:val="0"/>
          <w:numId w:val="7"/>
        </w:numPr>
        <w:spacing w:after="200" w:line="360" w:lineRule="auto"/>
        <w:ind w:right="919"/>
        <w:jc w:val="both"/>
        <w:rPr>
          <w:lang w:val="en-US"/>
        </w:rPr>
      </w:pPr>
      <w:r w:rsidRPr="00C8418B">
        <w:rPr>
          <w:lang w:val="en-US"/>
        </w:rPr>
        <w:t>The technical proposal shall explain in detail how the company will plan the work and perform the objectives listed in the Terms of Reference (</w:t>
      </w:r>
      <w:proofErr w:type="spellStart"/>
      <w:r w:rsidRPr="00C8418B">
        <w:rPr>
          <w:lang w:val="en-US"/>
        </w:rPr>
        <w:t>ToR</w:t>
      </w:r>
      <w:proofErr w:type="spellEnd"/>
      <w:r w:rsidRPr="00C8418B">
        <w:rPr>
          <w:lang w:val="en-US"/>
        </w:rPr>
        <w:t xml:space="preserve">) document considering such aspects as compliance with the </w:t>
      </w:r>
      <w:proofErr w:type="spellStart"/>
      <w:r w:rsidRPr="00C8418B">
        <w:rPr>
          <w:lang w:val="en-US"/>
        </w:rPr>
        <w:t>ToR</w:t>
      </w:r>
      <w:proofErr w:type="spellEnd"/>
      <w:r w:rsidRPr="00C8418B">
        <w:rPr>
          <w:lang w:val="en-US"/>
        </w:rPr>
        <w:t xml:space="preserve">, implementation methodology, timelines of actions </w:t>
      </w:r>
      <w:proofErr w:type="spellStart"/>
      <w:r w:rsidRPr="00C8418B">
        <w:rPr>
          <w:lang w:val="en-US"/>
        </w:rPr>
        <w:t>includedin</w:t>
      </w:r>
      <w:proofErr w:type="spellEnd"/>
      <w:r w:rsidRPr="00C8418B">
        <w:rPr>
          <w:lang w:val="en-US"/>
        </w:rPr>
        <w:t xml:space="preserve"> the technical proposal; </w:t>
      </w:r>
    </w:p>
    <w:p w:rsidR="00C8418B" w:rsidRDefault="00DD56F2" w:rsidP="006C6C9C">
      <w:pPr>
        <w:numPr>
          <w:ilvl w:val="0"/>
          <w:numId w:val="7"/>
        </w:numPr>
        <w:spacing w:after="200" w:line="360" w:lineRule="auto"/>
        <w:ind w:right="919"/>
        <w:jc w:val="both"/>
        <w:rPr>
          <w:lang w:val="en-US"/>
        </w:rPr>
      </w:pPr>
      <w:r w:rsidRPr="00C8418B">
        <w:rPr>
          <w:lang w:val="en-US"/>
        </w:rPr>
        <w:t>A work plan, including implementation schedule of number of workdays per tasks to be performed by the contractor for completion of this assignment;</w:t>
      </w:r>
    </w:p>
    <w:p w:rsidR="00DD56F2" w:rsidRPr="00F51586" w:rsidRDefault="00DD56F2" w:rsidP="006C6C9C">
      <w:pPr>
        <w:numPr>
          <w:ilvl w:val="0"/>
          <w:numId w:val="7"/>
        </w:numPr>
        <w:spacing w:after="200" w:line="360" w:lineRule="auto"/>
        <w:ind w:right="919"/>
        <w:jc w:val="both"/>
        <w:rPr>
          <w:rStyle w:val="Seitenzahl"/>
          <w:b/>
          <w:lang w:val="en-US"/>
        </w:rPr>
      </w:pPr>
      <w:r w:rsidRPr="00F51586">
        <w:rPr>
          <w:lang w:val="en-US"/>
        </w:rPr>
        <w:t>Budget cost efficiency.</w:t>
      </w:r>
    </w:p>
    <w:p w:rsidR="00DD56F2" w:rsidRDefault="00DD56F2" w:rsidP="006C6C9C">
      <w:pPr>
        <w:spacing w:after="200" w:line="360" w:lineRule="auto"/>
        <w:ind w:right="919"/>
        <w:jc w:val="both"/>
        <w:rPr>
          <w:rStyle w:val="Seitenzahl"/>
          <w:b/>
          <w:lang w:val="en-US"/>
        </w:rPr>
      </w:pPr>
    </w:p>
    <w:p w:rsidR="002E1B5B" w:rsidRPr="002E1B5B" w:rsidRDefault="00F51586" w:rsidP="00F51586">
      <w:pPr>
        <w:spacing w:after="200" w:line="360" w:lineRule="auto"/>
        <w:ind w:right="919"/>
        <w:rPr>
          <w:i/>
          <w:lang w:val="en-US"/>
        </w:rPr>
      </w:pPr>
      <w:r w:rsidRPr="002E1B5B">
        <w:rPr>
          <w:i/>
          <w:lang w:val="en-US"/>
        </w:rPr>
        <w:t xml:space="preserve">More detailed information on assessment criteria is provided under the annexed assessment grid. </w:t>
      </w:r>
    </w:p>
    <w:p w:rsidR="002E1B5B" w:rsidRDefault="002E1B5B" w:rsidP="00F51586">
      <w:pPr>
        <w:spacing w:after="200" w:line="360" w:lineRule="auto"/>
        <w:ind w:right="919"/>
        <w:rPr>
          <w:lang w:val="en-US"/>
        </w:rPr>
      </w:pPr>
    </w:p>
    <w:p w:rsidR="002E1B5B" w:rsidRPr="005872FC" w:rsidRDefault="003768EB" w:rsidP="003768EB">
      <w:pPr>
        <w:spacing w:after="200" w:line="360" w:lineRule="auto"/>
        <w:ind w:right="919"/>
        <w:rPr>
          <w:rStyle w:val="Seitenzahl"/>
          <w:b/>
          <w:lang w:val="en-US"/>
        </w:rPr>
      </w:pPr>
      <w:r w:rsidRPr="003768EB">
        <w:rPr>
          <w:rStyle w:val="Seitenzahl"/>
          <w:b/>
          <w:lang w:val="en-US"/>
        </w:rPr>
        <w:t>8.</w:t>
      </w:r>
      <w:r>
        <w:rPr>
          <w:rStyle w:val="Seitenzahl"/>
          <w:rFonts w:asciiTheme="minorHAnsi" w:hAnsiTheme="minorHAnsi"/>
          <w:b/>
          <w:lang w:val="ka-GE"/>
        </w:rPr>
        <w:t xml:space="preserve"> </w:t>
      </w:r>
      <w:r w:rsidR="00F51586" w:rsidRPr="005872FC">
        <w:rPr>
          <w:rStyle w:val="Seitenzahl"/>
          <w:b/>
          <w:lang w:val="en-US"/>
        </w:rPr>
        <w:t>Project Duration</w:t>
      </w:r>
      <w:r w:rsidR="002E1B5B" w:rsidRPr="005872FC">
        <w:rPr>
          <w:rStyle w:val="Seitenzahl"/>
          <w:b/>
          <w:lang w:val="en-US"/>
        </w:rPr>
        <w:t xml:space="preserve"> </w:t>
      </w:r>
      <w:r w:rsidR="00F51586" w:rsidRPr="005872FC">
        <w:rPr>
          <w:rStyle w:val="Seitenzahl"/>
          <w:b/>
          <w:lang w:val="en-US"/>
        </w:rPr>
        <w:t>and payments</w:t>
      </w:r>
      <w:r w:rsidR="002E1B5B" w:rsidRPr="005872FC">
        <w:rPr>
          <w:rStyle w:val="Seitenzahl"/>
          <w:b/>
          <w:lang w:val="en-US"/>
        </w:rPr>
        <w:t>.</w:t>
      </w:r>
    </w:p>
    <w:p w:rsidR="002E1B5B" w:rsidRDefault="00F51586" w:rsidP="002E1B5B">
      <w:pPr>
        <w:spacing w:after="200" w:line="360" w:lineRule="auto"/>
        <w:ind w:right="919"/>
        <w:rPr>
          <w:lang w:val="en-US"/>
        </w:rPr>
      </w:pPr>
      <w:r w:rsidRPr="002E1B5B">
        <w:rPr>
          <w:lang w:val="en-US"/>
        </w:rPr>
        <w:t xml:space="preserve">Tentative contract period for the service will be </w:t>
      </w:r>
      <w:r w:rsidR="002E1B5B">
        <w:rPr>
          <w:lang w:val="en-US"/>
        </w:rPr>
        <w:t>01</w:t>
      </w:r>
      <w:r w:rsidRPr="002E1B5B">
        <w:rPr>
          <w:lang w:val="en-US"/>
        </w:rPr>
        <w:t>.0</w:t>
      </w:r>
      <w:r w:rsidR="002E1B5B">
        <w:rPr>
          <w:lang w:val="en-US"/>
        </w:rPr>
        <w:t>9</w:t>
      </w:r>
      <w:r w:rsidRPr="002E1B5B">
        <w:rPr>
          <w:lang w:val="en-US"/>
        </w:rPr>
        <w:t>.2020 –</w:t>
      </w:r>
      <w:commentRangeStart w:id="0"/>
      <w:r w:rsidR="0061480D">
        <w:rPr>
          <w:lang w:val="en-US"/>
        </w:rPr>
        <w:t>20</w:t>
      </w:r>
      <w:r w:rsidRPr="002E1B5B">
        <w:rPr>
          <w:lang w:val="en-US"/>
        </w:rPr>
        <w:t>.11</w:t>
      </w:r>
      <w:commentRangeEnd w:id="0"/>
      <w:r w:rsidR="0061480D">
        <w:rPr>
          <w:rStyle w:val="Kommentarzeichen"/>
        </w:rPr>
        <w:commentReference w:id="0"/>
      </w:r>
      <w:r w:rsidRPr="002E1B5B">
        <w:rPr>
          <w:lang w:val="en-US"/>
        </w:rPr>
        <w:t>.2020.</w:t>
      </w:r>
      <w:r w:rsidR="006451D1">
        <w:rPr>
          <w:lang w:val="en-US"/>
        </w:rPr>
        <w:t xml:space="preserve"> </w:t>
      </w:r>
      <w:r w:rsidRPr="002E1B5B">
        <w:rPr>
          <w:lang w:val="en-US"/>
        </w:rPr>
        <w:t xml:space="preserve">Within the frames of the contract the payments will be made gradually. </w:t>
      </w:r>
    </w:p>
    <w:p w:rsidR="002E1B5B" w:rsidRDefault="003768EB" w:rsidP="002E1B5B">
      <w:pPr>
        <w:spacing w:after="200" w:line="360" w:lineRule="auto"/>
        <w:ind w:right="919"/>
        <w:rPr>
          <w:rStyle w:val="Seitenzahl"/>
          <w:b/>
          <w:lang w:val="en-US"/>
        </w:rPr>
      </w:pPr>
      <w:r w:rsidRPr="003768EB">
        <w:rPr>
          <w:rStyle w:val="Seitenzahl"/>
          <w:b/>
          <w:lang w:val="en-US"/>
        </w:rPr>
        <w:t>9.</w:t>
      </w:r>
      <w:r w:rsidR="00F51586" w:rsidRPr="002E1B5B">
        <w:rPr>
          <w:rStyle w:val="Seitenzahl"/>
          <w:b/>
          <w:lang w:val="en-US"/>
        </w:rPr>
        <w:t>Submission of Application</w:t>
      </w:r>
      <w:r w:rsidR="002E1B5B">
        <w:rPr>
          <w:rStyle w:val="Seitenzahl"/>
          <w:b/>
          <w:lang w:val="en-US"/>
        </w:rPr>
        <w:t>.</w:t>
      </w:r>
    </w:p>
    <w:p w:rsidR="002E1B5B" w:rsidRDefault="00F51586" w:rsidP="002E1B5B">
      <w:pPr>
        <w:spacing w:after="200" w:line="360" w:lineRule="auto"/>
        <w:ind w:right="919"/>
        <w:rPr>
          <w:lang w:val="en-US"/>
        </w:rPr>
      </w:pPr>
      <w:r w:rsidRPr="002E1B5B">
        <w:rPr>
          <w:lang w:val="en-US"/>
        </w:rPr>
        <w:t xml:space="preserve">Application should be submitted in English. </w:t>
      </w:r>
    </w:p>
    <w:p w:rsidR="002E1B5B" w:rsidRDefault="00F51586" w:rsidP="002E1B5B">
      <w:pPr>
        <w:spacing w:after="200" w:line="360" w:lineRule="auto"/>
        <w:ind w:right="919"/>
        <w:rPr>
          <w:lang w:val="en-US"/>
        </w:rPr>
      </w:pPr>
      <w:r w:rsidRPr="002E1B5B">
        <w:rPr>
          <w:b/>
          <w:lang w:val="en-US"/>
        </w:rPr>
        <w:t>Technical proposal shall contain the following information</w:t>
      </w:r>
      <w:r w:rsidR="002E1B5B">
        <w:rPr>
          <w:lang w:val="en-US"/>
        </w:rPr>
        <w:t xml:space="preserve"> </w:t>
      </w:r>
      <w:r w:rsidRPr="002E1B5B">
        <w:rPr>
          <w:i/>
          <w:lang w:val="en-US"/>
        </w:rPr>
        <w:t>(recommended structure of the proposal</w:t>
      </w:r>
      <w:r w:rsidRPr="002E1B5B">
        <w:rPr>
          <w:lang w:val="en-US"/>
        </w:rPr>
        <w:t>):</w:t>
      </w:r>
    </w:p>
    <w:p w:rsidR="002E1B5B" w:rsidRPr="002E1B5B" w:rsidRDefault="00F51586" w:rsidP="002E1B5B">
      <w:pPr>
        <w:spacing w:after="200" w:line="360" w:lineRule="auto"/>
        <w:ind w:right="919"/>
        <w:rPr>
          <w:i/>
          <w:lang w:val="en-US"/>
        </w:rPr>
      </w:pPr>
      <w:r w:rsidRPr="002E1B5B">
        <w:rPr>
          <w:i/>
          <w:lang w:val="en-US"/>
        </w:rPr>
        <w:t xml:space="preserve"> 1.Title page </w:t>
      </w:r>
    </w:p>
    <w:p w:rsidR="00F51586" w:rsidRPr="002E1B5B" w:rsidRDefault="00F51586" w:rsidP="004F342A">
      <w:pPr>
        <w:spacing w:after="200" w:line="276" w:lineRule="auto"/>
        <w:ind w:right="919"/>
        <w:rPr>
          <w:lang w:val="en-US"/>
        </w:rPr>
      </w:pPr>
      <w:r w:rsidRPr="002E1B5B">
        <w:rPr>
          <w:lang w:val="en-US"/>
        </w:rPr>
        <w:t xml:space="preserve">Name and registration number of </w:t>
      </w:r>
      <w:proofErr w:type="gramStart"/>
      <w:r w:rsidRPr="002E1B5B">
        <w:rPr>
          <w:lang w:val="en-US"/>
        </w:rPr>
        <w:t>organization</w:t>
      </w:r>
      <w:proofErr w:type="gramEnd"/>
      <w:r w:rsidRPr="002E1B5B">
        <w:rPr>
          <w:lang w:val="en-US"/>
        </w:rPr>
        <w:t xml:space="preserve">; legal address, telephone number, e-mail address, director of organization -signature and stamp of a director. </w:t>
      </w:r>
    </w:p>
    <w:p w:rsidR="002E1B5B" w:rsidRPr="002E1B5B" w:rsidRDefault="00F51586" w:rsidP="004F342A">
      <w:pPr>
        <w:spacing w:after="200" w:line="276" w:lineRule="auto"/>
        <w:ind w:right="919"/>
        <w:rPr>
          <w:i/>
          <w:lang w:val="en-US"/>
        </w:rPr>
      </w:pPr>
      <w:r w:rsidRPr="002E1B5B">
        <w:rPr>
          <w:i/>
          <w:lang w:val="en-US"/>
        </w:rPr>
        <w:t>2. Project name and implementation period (month/year-month/year)</w:t>
      </w:r>
    </w:p>
    <w:p w:rsidR="002E1B5B" w:rsidRDefault="00F51586" w:rsidP="004F342A">
      <w:pPr>
        <w:spacing w:after="200" w:line="276" w:lineRule="auto"/>
        <w:ind w:right="919"/>
        <w:rPr>
          <w:lang w:val="en-US"/>
        </w:rPr>
      </w:pPr>
      <w:r w:rsidRPr="00F51586">
        <w:rPr>
          <w:lang w:val="en-US"/>
        </w:rPr>
        <w:t xml:space="preserve"> 2. 1</w:t>
      </w:r>
      <w:r w:rsidR="006451D1">
        <w:rPr>
          <w:lang w:val="en-US"/>
        </w:rPr>
        <w:t>.</w:t>
      </w:r>
      <w:r w:rsidRPr="00F51586">
        <w:rPr>
          <w:lang w:val="en-US"/>
        </w:rPr>
        <w:t xml:space="preserve"> Project Description</w:t>
      </w:r>
    </w:p>
    <w:p w:rsidR="002E1B5B" w:rsidRDefault="00F51586" w:rsidP="004F342A">
      <w:pPr>
        <w:spacing w:after="200" w:line="276" w:lineRule="auto"/>
        <w:ind w:right="919"/>
        <w:rPr>
          <w:lang w:val="en-US"/>
        </w:rPr>
      </w:pPr>
      <w:r w:rsidRPr="00F51586">
        <w:rPr>
          <w:lang w:val="en-US"/>
        </w:rPr>
        <w:t xml:space="preserve">2.2. </w:t>
      </w:r>
      <w:r w:rsidR="006451D1">
        <w:rPr>
          <w:lang w:val="en-US"/>
        </w:rPr>
        <w:t>P</w:t>
      </w:r>
      <w:r w:rsidRPr="00F51586">
        <w:rPr>
          <w:lang w:val="en-US"/>
        </w:rPr>
        <w:t xml:space="preserve">roject goals and objectives and implementation methodology (shall </w:t>
      </w:r>
      <w:proofErr w:type="gramStart"/>
      <w:r w:rsidRPr="00F51586">
        <w:rPr>
          <w:lang w:val="en-US"/>
        </w:rPr>
        <w:t>be in compliance with</w:t>
      </w:r>
      <w:proofErr w:type="gramEnd"/>
      <w:r w:rsidRPr="00F51586">
        <w:rPr>
          <w:lang w:val="en-US"/>
        </w:rPr>
        <w:t xml:space="preserve"> the terms of reference under this tender announcement);</w:t>
      </w:r>
    </w:p>
    <w:p w:rsidR="00F51586" w:rsidRDefault="00F51586" w:rsidP="004F342A">
      <w:pPr>
        <w:spacing w:after="200" w:line="276" w:lineRule="auto"/>
        <w:ind w:right="919"/>
        <w:rPr>
          <w:lang w:val="en-US"/>
        </w:rPr>
      </w:pPr>
      <w:r w:rsidRPr="00F51586">
        <w:rPr>
          <w:lang w:val="en-US"/>
        </w:rPr>
        <w:t>2.3 Activities defined by the project and implementation schedule</w:t>
      </w:r>
    </w:p>
    <w:tbl>
      <w:tblPr>
        <w:tblStyle w:val="Tabellenraster"/>
        <w:tblW w:w="4381" w:type="pct"/>
        <w:tblLook w:val="04A0" w:firstRow="1" w:lastRow="0" w:firstColumn="1" w:lastColumn="0" w:noHBand="0" w:noVBand="1"/>
      </w:tblPr>
      <w:tblGrid>
        <w:gridCol w:w="381"/>
        <w:gridCol w:w="1582"/>
        <w:gridCol w:w="760"/>
        <w:gridCol w:w="1173"/>
        <w:gridCol w:w="1728"/>
        <w:gridCol w:w="2276"/>
      </w:tblGrid>
      <w:tr w:rsidR="006C6C9C" w:rsidRPr="00F54387" w:rsidTr="00E00394">
        <w:tc>
          <w:tcPr>
            <w:tcW w:w="233"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w:t>
            </w:r>
          </w:p>
        </w:tc>
        <w:tc>
          <w:tcPr>
            <w:tcW w:w="1003"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Pr>
                <w:rFonts w:ascii="Times New Roman" w:eastAsia="Sylfaen" w:hAnsi="Times New Roman"/>
                <w:bdr w:val="nil"/>
                <w:lang w:val="en-GB"/>
              </w:rPr>
              <w:t>Activity</w:t>
            </w:r>
          </w:p>
        </w:tc>
        <w:tc>
          <w:tcPr>
            <w:tcW w:w="483"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Pr>
                <w:rFonts w:ascii="Times New Roman" w:eastAsia="Sylfaen" w:hAnsi="Times New Roman"/>
                <w:bdr w:val="nil"/>
                <w:lang w:val="en-GB"/>
              </w:rPr>
              <w:t>Sept</w:t>
            </w:r>
          </w:p>
        </w:tc>
        <w:tc>
          <w:tcPr>
            <w:tcW w:w="744"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Pr>
                <w:rFonts w:ascii="Times New Roman" w:eastAsia="Sylfaen" w:hAnsi="Times New Roman"/>
                <w:bdr w:val="nil"/>
                <w:lang w:val="en-GB"/>
              </w:rPr>
              <w:t>Oct</w:t>
            </w:r>
          </w:p>
        </w:tc>
        <w:tc>
          <w:tcPr>
            <w:tcW w:w="1095"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Pr>
                <w:rFonts w:ascii="Times New Roman" w:eastAsia="Sylfaen" w:hAnsi="Times New Roman"/>
                <w:bdr w:val="nil"/>
                <w:lang w:val="en-GB"/>
              </w:rPr>
              <w:t>Nov.</w:t>
            </w:r>
          </w:p>
        </w:tc>
        <w:tc>
          <w:tcPr>
            <w:tcW w:w="1442" w:type="pct"/>
            <w:shd w:val="clear" w:color="auto" w:fill="F7CAAC" w:themeFill="accent2" w:themeFillTint="66"/>
          </w:tcPr>
          <w:p w:rsidR="006C6C9C" w:rsidRPr="00F54387" w:rsidRDefault="006C6C9C" w:rsidP="00E00394">
            <w:pPr>
              <w:spacing w:line="276" w:lineRule="auto"/>
              <w:jc w:val="both"/>
              <w:rPr>
                <w:rFonts w:ascii="Times New Roman" w:hAnsi="Times New Roman"/>
                <w:lang w:val="en-GB"/>
              </w:rPr>
            </w:pPr>
            <w:r w:rsidRPr="00F54387">
              <w:rPr>
                <w:rFonts w:ascii="Times New Roman" w:eastAsia="Sylfaen" w:hAnsi="Times New Roman"/>
                <w:bdr w:val="nil"/>
                <w:lang w:val="en-GB"/>
              </w:rPr>
              <w:t>Comment</w:t>
            </w:r>
          </w:p>
        </w:tc>
      </w:tr>
      <w:tr w:rsidR="006C6C9C" w:rsidRPr="00F54387" w:rsidTr="00E00394">
        <w:tc>
          <w:tcPr>
            <w:tcW w:w="233" w:type="pct"/>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1</w:t>
            </w:r>
          </w:p>
        </w:tc>
        <w:tc>
          <w:tcPr>
            <w:tcW w:w="1003" w:type="pct"/>
          </w:tcPr>
          <w:p w:rsidR="006C6C9C" w:rsidRPr="00F54387" w:rsidRDefault="006C6C9C" w:rsidP="00E00394">
            <w:pPr>
              <w:spacing w:line="276" w:lineRule="auto"/>
              <w:jc w:val="both"/>
              <w:rPr>
                <w:rFonts w:ascii="Times New Roman" w:hAnsi="Times New Roman"/>
                <w:lang w:val="en-GB"/>
              </w:rPr>
            </w:pPr>
            <w:r w:rsidRPr="00F54387">
              <w:rPr>
                <w:rFonts w:ascii="Times New Roman" w:eastAsia="Sylfaen" w:hAnsi="Times New Roman"/>
                <w:bdr w:val="nil"/>
                <w:lang w:val="en-GB"/>
              </w:rPr>
              <w:t>X</w:t>
            </w:r>
          </w:p>
        </w:tc>
        <w:tc>
          <w:tcPr>
            <w:tcW w:w="483" w:type="pct"/>
          </w:tcPr>
          <w:p w:rsidR="006C6C9C" w:rsidRPr="00F54387" w:rsidRDefault="006C6C9C" w:rsidP="00E00394">
            <w:pPr>
              <w:spacing w:line="276" w:lineRule="auto"/>
              <w:jc w:val="both"/>
              <w:rPr>
                <w:rFonts w:ascii="Times New Roman" w:hAnsi="Times New Roman"/>
                <w:lang w:val="en-GB"/>
              </w:rPr>
            </w:pPr>
          </w:p>
        </w:tc>
        <w:tc>
          <w:tcPr>
            <w:tcW w:w="744" w:type="pct"/>
          </w:tcPr>
          <w:p w:rsidR="006C6C9C" w:rsidRPr="00F54387" w:rsidRDefault="006C6C9C" w:rsidP="00E00394">
            <w:pPr>
              <w:spacing w:line="276" w:lineRule="auto"/>
              <w:jc w:val="both"/>
              <w:rPr>
                <w:rFonts w:ascii="Times New Roman" w:hAnsi="Times New Roman"/>
                <w:lang w:val="en-GB"/>
              </w:rPr>
            </w:pPr>
          </w:p>
        </w:tc>
        <w:tc>
          <w:tcPr>
            <w:tcW w:w="1095" w:type="pct"/>
          </w:tcPr>
          <w:p w:rsidR="006C6C9C" w:rsidRPr="00F54387" w:rsidRDefault="006C6C9C" w:rsidP="00E00394">
            <w:pPr>
              <w:spacing w:line="276" w:lineRule="auto"/>
              <w:jc w:val="both"/>
              <w:rPr>
                <w:rFonts w:ascii="Times New Roman" w:hAnsi="Times New Roman"/>
                <w:lang w:val="en-GB"/>
              </w:rPr>
            </w:pPr>
          </w:p>
        </w:tc>
        <w:tc>
          <w:tcPr>
            <w:tcW w:w="1442" w:type="pct"/>
          </w:tcPr>
          <w:p w:rsidR="006C6C9C" w:rsidRPr="00F54387" w:rsidRDefault="006C6C9C" w:rsidP="00E00394">
            <w:pPr>
              <w:spacing w:line="276" w:lineRule="auto"/>
              <w:jc w:val="both"/>
              <w:rPr>
                <w:rFonts w:ascii="Times New Roman" w:hAnsi="Times New Roman"/>
                <w:i/>
                <w:lang w:val="en-GB"/>
              </w:rPr>
            </w:pPr>
            <w:r w:rsidRPr="00F54387">
              <w:rPr>
                <w:rFonts w:ascii="Times New Roman" w:eastAsia="Sylfaen" w:hAnsi="Times New Roman"/>
                <w:i/>
                <w:iCs/>
                <w:bdr w:val="nil"/>
                <w:lang w:val="en-GB"/>
              </w:rPr>
              <w:t>[Indicate if needed]</w:t>
            </w:r>
          </w:p>
        </w:tc>
      </w:tr>
      <w:tr w:rsidR="006C6C9C" w:rsidRPr="00F54387" w:rsidTr="00E00394">
        <w:tc>
          <w:tcPr>
            <w:tcW w:w="233" w:type="pct"/>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2</w:t>
            </w:r>
          </w:p>
        </w:tc>
        <w:tc>
          <w:tcPr>
            <w:tcW w:w="1003" w:type="pct"/>
          </w:tcPr>
          <w:p w:rsidR="006C6C9C" w:rsidRPr="00F54387" w:rsidRDefault="006C6C9C" w:rsidP="00E00394">
            <w:pPr>
              <w:spacing w:line="276" w:lineRule="auto"/>
              <w:jc w:val="both"/>
              <w:rPr>
                <w:rFonts w:ascii="Times New Roman" w:hAnsi="Times New Roman"/>
                <w:lang w:val="en-GB"/>
              </w:rPr>
            </w:pPr>
            <w:r w:rsidRPr="00F54387">
              <w:rPr>
                <w:rFonts w:ascii="Times New Roman" w:eastAsia="Sylfaen" w:hAnsi="Times New Roman"/>
                <w:bdr w:val="nil"/>
                <w:lang w:val="en-GB"/>
              </w:rPr>
              <w:t>Y</w:t>
            </w:r>
          </w:p>
        </w:tc>
        <w:tc>
          <w:tcPr>
            <w:tcW w:w="483" w:type="pct"/>
          </w:tcPr>
          <w:p w:rsidR="006C6C9C" w:rsidRPr="00F54387" w:rsidRDefault="006C6C9C" w:rsidP="00E00394">
            <w:pPr>
              <w:spacing w:line="276" w:lineRule="auto"/>
              <w:jc w:val="both"/>
              <w:rPr>
                <w:rFonts w:ascii="Times New Roman" w:hAnsi="Times New Roman"/>
                <w:lang w:val="en-GB"/>
              </w:rPr>
            </w:pPr>
          </w:p>
        </w:tc>
        <w:tc>
          <w:tcPr>
            <w:tcW w:w="744" w:type="pct"/>
          </w:tcPr>
          <w:p w:rsidR="006C6C9C" w:rsidRPr="00F54387" w:rsidRDefault="006C6C9C" w:rsidP="00E00394">
            <w:pPr>
              <w:spacing w:line="276" w:lineRule="auto"/>
              <w:jc w:val="both"/>
              <w:rPr>
                <w:rFonts w:ascii="Times New Roman" w:hAnsi="Times New Roman"/>
                <w:lang w:val="en-GB"/>
              </w:rPr>
            </w:pPr>
          </w:p>
        </w:tc>
        <w:tc>
          <w:tcPr>
            <w:tcW w:w="1095" w:type="pct"/>
          </w:tcPr>
          <w:p w:rsidR="006C6C9C" w:rsidRPr="00F54387" w:rsidRDefault="006C6C9C" w:rsidP="00E00394">
            <w:pPr>
              <w:spacing w:line="276" w:lineRule="auto"/>
              <w:jc w:val="both"/>
              <w:rPr>
                <w:rFonts w:ascii="Times New Roman" w:hAnsi="Times New Roman"/>
                <w:lang w:val="en-GB"/>
              </w:rPr>
            </w:pPr>
          </w:p>
        </w:tc>
        <w:tc>
          <w:tcPr>
            <w:tcW w:w="1442" w:type="pct"/>
          </w:tcPr>
          <w:p w:rsidR="006C6C9C" w:rsidRPr="00F54387" w:rsidRDefault="006C6C9C" w:rsidP="00E00394">
            <w:pPr>
              <w:spacing w:line="276" w:lineRule="auto"/>
              <w:jc w:val="both"/>
              <w:rPr>
                <w:rFonts w:ascii="Times New Roman" w:hAnsi="Times New Roman"/>
                <w:lang w:val="en-GB"/>
              </w:rPr>
            </w:pPr>
          </w:p>
        </w:tc>
      </w:tr>
      <w:tr w:rsidR="006C6C9C" w:rsidRPr="00F54387" w:rsidTr="00E00394">
        <w:tc>
          <w:tcPr>
            <w:tcW w:w="233" w:type="pct"/>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3</w:t>
            </w:r>
          </w:p>
        </w:tc>
        <w:tc>
          <w:tcPr>
            <w:tcW w:w="1003" w:type="pct"/>
          </w:tcPr>
          <w:p w:rsidR="006C6C9C" w:rsidRPr="00F54387" w:rsidRDefault="006C6C9C" w:rsidP="00E00394">
            <w:pPr>
              <w:spacing w:line="276" w:lineRule="auto"/>
              <w:jc w:val="both"/>
              <w:rPr>
                <w:rFonts w:ascii="Times New Roman" w:hAnsi="Times New Roman"/>
                <w:lang w:val="en-GB"/>
              </w:rPr>
            </w:pPr>
            <w:r w:rsidRPr="00F54387">
              <w:rPr>
                <w:rFonts w:ascii="Times New Roman" w:eastAsia="Sylfaen" w:hAnsi="Times New Roman"/>
                <w:bdr w:val="nil"/>
                <w:lang w:val="en-GB"/>
              </w:rPr>
              <w:t>Z</w:t>
            </w:r>
          </w:p>
        </w:tc>
        <w:tc>
          <w:tcPr>
            <w:tcW w:w="483" w:type="pct"/>
          </w:tcPr>
          <w:p w:rsidR="006C6C9C" w:rsidRPr="00F54387" w:rsidRDefault="006C6C9C" w:rsidP="00E00394">
            <w:pPr>
              <w:spacing w:line="276" w:lineRule="auto"/>
              <w:jc w:val="both"/>
              <w:rPr>
                <w:rFonts w:ascii="Times New Roman" w:hAnsi="Times New Roman"/>
                <w:lang w:val="en-GB"/>
              </w:rPr>
            </w:pPr>
          </w:p>
        </w:tc>
        <w:tc>
          <w:tcPr>
            <w:tcW w:w="744" w:type="pct"/>
          </w:tcPr>
          <w:p w:rsidR="006C6C9C" w:rsidRPr="00F54387" w:rsidRDefault="006C6C9C" w:rsidP="00E00394">
            <w:pPr>
              <w:spacing w:line="276" w:lineRule="auto"/>
              <w:jc w:val="both"/>
              <w:rPr>
                <w:rFonts w:ascii="Times New Roman" w:hAnsi="Times New Roman"/>
                <w:lang w:val="en-GB"/>
              </w:rPr>
            </w:pPr>
          </w:p>
        </w:tc>
        <w:tc>
          <w:tcPr>
            <w:tcW w:w="1095" w:type="pct"/>
          </w:tcPr>
          <w:p w:rsidR="006C6C9C" w:rsidRPr="00F54387" w:rsidRDefault="006C6C9C" w:rsidP="00E00394">
            <w:pPr>
              <w:spacing w:line="276" w:lineRule="auto"/>
              <w:jc w:val="both"/>
              <w:rPr>
                <w:rFonts w:ascii="Times New Roman" w:hAnsi="Times New Roman"/>
                <w:lang w:val="en-GB"/>
              </w:rPr>
            </w:pPr>
          </w:p>
        </w:tc>
        <w:tc>
          <w:tcPr>
            <w:tcW w:w="1442" w:type="pct"/>
          </w:tcPr>
          <w:p w:rsidR="006C6C9C" w:rsidRPr="00F54387" w:rsidRDefault="006C6C9C" w:rsidP="00E00394">
            <w:pPr>
              <w:spacing w:line="276" w:lineRule="auto"/>
              <w:jc w:val="both"/>
              <w:rPr>
                <w:rFonts w:ascii="Times New Roman" w:hAnsi="Times New Roman"/>
                <w:lang w:val="en-GB"/>
              </w:rPr>
            </w:pPr>
          </w:p>
        </w:tc>
      </w:tr>
      <w:tr w:rsidR="006C6C9C" w:rsidRPr="00F54387" w:rsidTr="00E00394">
        <w:tc>
          <w:tcPr>
            <w:tcW w:w="233" w:type="pct"/>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w:t>
            </w:r>
          </w:p>
        </w:tc>
        <w:tc>
          <w:tcPr>
            <w:tcW w:w="1003" w:type="pct"/>
          </w:tcPr>
          <w:p w:rsidR="006C6C9C" w:rsidRPr="00F54387" w:rsidRDefault="006C6C9C" w:rsidP="00E00394">
            <w:pPr>
              <w:spacing w:line="276" w:lineRule="auto"/>
              <w:jc w:val="both"/>
              <w:rPr>
                <w:rFonts w:ascii="Times New Roman" w:hAnsi="Times New Roman"/>
                <w:lang w:val="en-GB"/>
              </w:rPr>
            </w:pPr>
            <w:r w:rsidRPr="00F54387">
              <w:rPr>
                <w:rFonts w:ascii="Times New Roman" w:hAnsi="Times New Roman"/>
                <w:lang w:val="en-GB"/>
              </w:rPr>
              <w:t>…</w:t>
            </w:r>
          </w:p>
        </w:tc>
        <w:tc>
          <w:tcPr>
            <w:tcW w:w="483" w:type="pct"/>
          </w:tcPr>
          <w:p w:rsidR="006C6C9C" w:rsidRPr="00F54387" w:rsidRDefault="006C6C9C" w:rsidP="00E00394">
            <w:pPr>
              <w:spacing w:line="276" w:lineRule="auto"/>
              <w:jc w:val="both"/>
              <w:rPr>
                <w:rFonts w:ascii="Times New Roman" w:hAnsi="Times New Roman"/>
                <w:lang w:val="en-GB"/>
              </w:rPr>
            </w:pPr>
          </w:p>
        </w:tc>
        <w:tc>
          <w:tcPr>
            <w:tcW w:w="744" w:type="pct"/>
          </w:tcPr>
          <w:p w:rsidR="006C6C9C" w:rsidRPr="00F54387" w:rsidRDefault="006C6C9C" w:rsidP="00E00394">
            <w:pPr>
              <w:spacing w:line="276" w:lineRule="auto"/>
              <w:jc w:val="both"/>
              <w:rPr>
                <w:rFonts w:ascii="Times New Roman" w:hAnsi="Times New Roman"/>
                <w:lang w:val="en-GB"/>
              </w:rPr>
            </w:pPr>
          </w:p>
        </w:tc>
        <w:tc>
          <w:tcPr>
            <w:tcW w:w="1095" w:type="pct"/>
          </w:tcPr>
          <w:p w:rsidR="006C6C9C" w:rsidRPr="00F54387" w:rsidRDefault="006C6C9C" w:rsidP="00E00394">
            <w:pPr>
              <w:spacing w:line="276" w:lineRule="auto"/>
              <w:jc w:val="both"/>
              <w:rPr>
                <w:rFonts w:ascii="Times New Roman" w:hAnsi="Times New Roman"/>
                <w:lang w:val="en-GB"/>
              </w:rPr>
            </w:pPr>
          </w:p>
        </w:tc>
        <w:tc>
          <w:tcPr>
            <w:tcW w:w="1442" w:type="pct"/>
          </w:tcPr>
          <w:p w:rsidR="006C6C9C" w:rsidRPr="00F54387" w:rsidRDefault="006C6C9C" w:rsidP="00E00394">
            <w:pPr>
              <w:spacing w:line="276" w:lineRule="auto"/>
              <w:jc w:val="both"/>
              <w:rPr>
                <w:rFonts w:ascii="Times New Roman" w:hAnsi="Times New Roman"/>
                <w:lang w:val="en-GB"/>
              </w:rPr>
            </w:pPr>
          </w:p>
        </w:tc>
      </w:tr>
    </w:tbl>
    <w:p w:rsidR="002E1B5B" w:rsidRPr="002E1B5B" w:rsidRDefault="002E1B5B" w:rsidP="00F51586">
      <w:pPr>
        <w:spacing w:after="200" w:line="360" w:lineRule="auto"/>
        <w:ind w:right="919"/>
        <w:rPr>
          <w:i/>
          <w:lang w:val="en-US"/>
        </w:rPr>
      </w:pPr>
    </w:p>
    <w:p w:rsidR="002E1B5B" w:rsidRPr="002E1B5B" w:rsidRDefault="00EC6A88" w:rsidP="00F51586">
      <w:pPr>
        <w:spacing w:after="200" w:line="360" w:lineRule="auto"/>
        <w:ind w:right="919"/>
        <w:rPr>
          <w:i/>
          <w:lang w:val="en-US"/>
        </w:rPr>
      </w:pPr>
      <w:r w:rsidRPr="002E1B5B">
        <w:rPr>
          <w:i/>
          <w:lang w:val="en-US"/>
        </w:rPr>
        <w:t>2.4</w:t>
      </w:r>
      <w:r w:rsidR="002E1B5B">
        <w:rPr>
          <w:i/>
          <w:lang w:val="en-US"/>
        </w:rPr>
        <w:t xml:space="preserve"> </w:t>
      </w:r>
      <w:r w:rsidRPr="002E1B5B">
        <w:rPr>
          <w:i/>
          <w:lang w:val="en-US"/>
        </w:rPr>
        <w:t xml:space="preserve">Persons involved in the project and their functions </w:t>
      </w:r>
    </w:p>
    <w:p w:rsidR="006451D1" w:rsidRDefault="00EC6A88" w:rsidP="00F51586">
      <w:pPr>
        <w:spacing w:after="200" w:line="360" w:lineRule="auto"/>
        <w:ind w:right="919"/>
        <w:rPr>
          <w:lang w:val="en-US"/>
        </w:rPr>
      </w:pPr>
      <w:r w:rsidRPr="002E1B5B">
        <w:rPr>
          <w:lang w:val="en-US"/>
        </w:rPr>
        <w:t>Please, indicate the list and functions of persons, who will be involved in the implementation of the project and will be respectively indicated in the budget.</w:t>
      </w:r>
    </w:p>
    <w:p w:rsidR="00B83F8F" w:rsidRDefault="00EC6A88" w:rsidP="00F51586">
      <w:pPr>
        <w:spacing w:after="200" w:line="360" w:lineRule="auto"/>
        <w:ind w:right="919"/>
        <w:rPr>
          <w:highlight w:val="yellow"/>
          <w:lang w:val="en-US"/>
        </w:rPr>
      </w:pPr>
      <w:r w:rsidRPr="00B83F8F">
        <w:rPr>
          <w:i/>
          <w:lang w:val="en-US"/>
        </w:rPr>
        <w:t xml:space="preserve"> 2.5 Annex</w:t>
      </w:r>
      <w:r w:rsidRPr="00373507">
        <w:rPr>
          <w:highlight w:val="yellow"/>
          <w:lang w:val="en-US"/>
        </w:rPr>
        <w:t xml:space="preserve"> </w:t>
      </w:r>
    </w:p>
    <w:p w:rsidR="00373507" w:rsidRPr="00B83F8F" w:rsidRDefault="00EC6A88" w:rsidP="00F51586">
      <w:pPr>
        <w:spacing w:after="200" w:line="360" w:lineRule="auto"/>
        <w:ind w:right="919"/>
        <w:rPr>
          <w:lang w:val="en-US"/>
        </w:rPr>
      </w:pPr>
      <w:r w:rsidRPr="00B83F8F">
        <w:rPr>
          <w:lang w:val="en-US"/>
        </w:rPr>
        <w:t>Respective Resumes (CV) of the staff involved in the implementation of the project should be attached to the application. Applicant may attach any additional relevant information to the application</w:t>
      </w:r>
    </w:p>
    <w:p w:rsidR="002E1B5B" w:rsidRDefault="002E1B5B" w:rsidP="00F51586">
      <w:pPr>
        <w:spacing w:after="200" w:line="360" w:lineRule="auto"/>
        <w:ind w:right="919"/>
        <w:rPr>
          <w:lang w:val="en-US"/>
        </w:rPr>
      </w:pPr>
      <w:r w:rsidRPr="002E1B5B">
        <w:rPr>
          <w:b/>
          <w:lang w:val="en-US"/>
        </w:rPr>
        <w:t>Financial offer shall contain the following information</w:t>
      </w:r>
      <w:r w:rsidRPr="002E1B5B">
        <w:rPr>
          <w:lang w:val="en-US"/>
        </w:rPr>
        <w:t>:</w:t>
      </w:r>
    </w:p>
    <w:p w:rsidR="003E4D68" w:rsidRDefault="003E4D68" w:rsidP="00F51586">
      <w:pPr>
        <w:spacing w:after="200" w:line="360" w:lineRule="auto"/>
        <w:ind w:right="919"/>
        <w:rPr>
          <w:lang w:val="en-US"/>
        </w:rPr>
      </w:pPr>
      <w:r w:rsidRPr="002E1B5B">
        <w:rPr>
          <w:i/>
          <w:lang w:val="en-US"/>
        </w:rPr>
        <w:t xml:space="preserve">Budget in GEL (excl. </w:t>
      </w:r>
      <w:commentRangeStart w:id="1"/>
      <w:r w:rsidRPr="002E1B5B">
        <w:rPr>
          <w:i/>
          <w:lang w:val="en-US"/>
        </w:rPr>
        <w:t>VAT</w:t>
      </w:r>
      <w:commentRangeEnd w:id="1"/>
      <w:r w:rsidR="0061480D">
        <w:rPr>
          <w:rStyle w:val="Kommentarzeichen"/>
        </w:rPr>
        <w:commentReference w:id="1"/>
      </w:r>
      <w:r w:rsidRPr="002E1B5B">
        <w:rPr>
          <w:i/>
          <w:lang w:val="en-US"/>
        </w:rPr>
        <w:t>)</w:t>
      </w:r>
    </w:p>
    <w:tbl>
      <w:tblPr>
        <w:tblpPr w:leftFromText="180" w:rightFromText="180" w:vertAnchor="text" w:horzAnchor="margin" w:tblpY="404"/>
        <w:tblW w:w="5000" w:type="pct"/>
        <w:tblLook w:val="04A0" w:firstRow="1" w:lastRow="0" w:firstColumn="1" w:lastColumn="0" w:noHBand="0" w:noVBand="1"/>
      </w:tblPr>
      <w:tblGrid>
        <w:gridCol w:w="491"/>
        <w:gridCol w:w="1668"/>
        <w:gridCol w:w="2336"/>
        <w:gridCol w:w="1069"/>
        <w:gridCol w:w="1056"/>
        <w:gridCol w:w="1215"/>
        <w:gridCol w:w="1158"/>
      </w:tblGrid>
      <w:tr w:rsidR="006C6C9C" w:rsidRPr="006C6C9C" w:rsidTr="006C6C9C">
        <w:trPr>
          <w:trHeight w:val="1215"/>
        </w:trPr>
        <w:tc>
          <w:tcPr>
            <w:tcW w:w="250" w:type="pct"/>
            <w:tcBorders>
              <w:top w:val="double" w:sz="6" w:space="0" w:color="auto"/>
              <w:left w:val="double" w:sz="6" w:space="0" w:color="auto"/>
              <w:bottom w:val="nil"/>
              <w:right w:val="single" w:sz="8" w:space="0" w:color="auto"/>
            </w:tcBorders>
            <w:shd w:val="clear" w:color="auto" w:fill="D9D9D9"/>
            <w:vAlign w:val="center"/>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w:t>
            </w:r>
          </w:p>
        </w:tc>
        <w:tc>
          <w:tcPr>
            <w:tcW w:w="1015" w:type="pct"/>
            <w:tcBorders>
              <w:top w:val="double" w:sz="6" w:space="0" w:color="auto"/>
              <w:left w:val="double" w:sz="6" w:space="0" w:color="auto"/>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Category</w:t>
            </w:r>
          </w:p>
        </w:tc>
        <w:tc>
          <w:tcPr>
            <w:tcW w:w="942" w:type="pct"/>
            <w:tcBorders>
              <w:top w:val="double" w:sz="6" w:space="0" w:color="auto"/>
              <w:left w:val="nil"/>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Unit</w:t>
            </w:r>
          </w:p>
        </w:tc>
        <w:tc>
          <w:tcPr>
            <w:tcW w:w="682" w:type="pct"/>
            <w:tcBorders>
              <w:top w:val="double" w:sz="6" w:space="0" w:color="auto"/>
              <w:left w:val="nil"/>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Unit quantity</w:t>
            </w:r>
          </w:p>
        </w:tc>
        <w:tc>
          <w:tcPr>
            <w:tcW w:w="675" w:type="pct"/>
            <w:tcBorders>
              <w:top w:val="double" w:sz="6" w:space="0" w:color="auto"/>
              <w:left w:val="nil"/>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 xml:space="preserve">Unit price (GEL) </w:t>
            </w:r>
          </w:p>
        </w:tc>
        <w:tc>
          <w:tcPr>
            <w:tcW w:w="763" w:type="pct"/>
            <w:tcBorders>
              <w:top w:val="double" w:sz="6" w:space="0" w:color="auto"/>
              <w:left w:val="nil"/>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 xml:space="preserve">Total </w:t>
            </w:r>
          </w:p>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Price</w:t>
            </w:r>
            <w:r w:rsidRPr="006C6C9C">
              <w:rPr>
                <w:rFonts w:ascii="Times New Roman" w:eastAsia="Sylfaen" w:hAnsi="Times New Roman"/>
                <w:b/>
                <w:bCs/>
                <w:szCs w:val="22"/>
                <w:bdr w:val="nil"/>
                <w:lang w:val="en-GB" w:eastAsia="en-US"/>
              </w:rPr>
              <w:br/>
              <w:t>(GEL)</w:t>
            </w:r>
          </w:p>
        </w:tc>
        <w:tc>
          <w:tcPr>
            <w:tcW w:w="674" w:type="pct"/>
            <w:tcBorders>
              <w:top w:val="double" w:sz="6" w:space="0" w:color="auto"/>
              <w:left w:val="nil"/>
              <w:bottom w:val="nil"/>
              <w:right w:val="single" w:sz="8"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Definition</w:t>
            </w:r>
          </w:p>
        </w:tc>
      </w:tr>
      <w:tr w:rsidR="006C6C9C" w:rsidRPr="006C6C9C" w:rsidTr="00E00394">
        <w:trPr>
          <w:trHeight w:val="576"/>
        </w:trPr>
        <w:tc>
          <w:tcPr>
            <w:tcW w:w="250" w:type="pct"/>
            <w:tcBorders>
              <w:top w:val="single" w:sz="4" w:space="0" w:color="auto"/>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 xml:space="preserve">1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Fee</w:t>
            </w:r>
          </w:p>
        </w:tc>
        <w:tc>
          <w:tcPr>
            <w:tcW w:w="942" w:type="pct"/>
            <w:tcBorders>
              <w:top w:val="single" w:sz="4" w:space="0" w:color="auto"/>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EF0610"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1.1</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c>
          <w:tcPr>
            <w:tcW w:w="942"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eastAsia="Sylfaen" w:hAnsi="Times New Roman"/>
                <w:szCs w:val="22"/>
                <w:bdr w:val="nil"/>
                <w:lang w:val="en-GB" w:eastAsia="en-US"/>
              </w:rPr>
              <w:t>[Per month or man-day]</w:t>
            </w:r>
          </w:p>
        </w:tc>
        <w:tc>
          <w:tcPr>
            <w:tcW w:w="682"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p>
        </w:tc>
        <w:tc>
          <w:tcPr>
            <w:tcW w:w="675"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p>
        </w:tc>
        <w:tc>
          <w:tcPr>
            <w:tcW w:w="763"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p>
        </w:tc>
        <w:tc>
          <w:tcPr>
            <w:tcW w:w="674" w:type="pct"/>
            <w:tcBorders>
              <w:top w:val="nil"/>
              <w:left w:val="single" w:sz="4" w:space="0" w:color="auto"/>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1.2</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c>
          <w:tcPr>
            <w:tcW w:w="942"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1.3</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c>
          <w:tcPr>
            <w:tcW w:w="942" w:type="pct"/>
            <w:tcBorders>
              <w:top w:val="nil"/>
              <w:left w:val="nil"/>
              <w:bottom w:val="single" w:sz="4" w:space="0" w:color="auto"/>
              <w:right w:val="single" w:sz="4" w:space="0" w:color="auto"/>
            </w:tcBorders>
            <w:shd w:val="clear" w:color="auto" w:fill="auto"/>
            <w:noWrap/>
            <w:vAlign w:val="bottom"/>
          </w:tcPr>
          <w:p w:rsidR="006C6C9C" w:rsidRPr="006C6C9C" w:rsidRDefault="006C6C9C" w:rsidP="006C6C9C">
            <w:pPr>
              <w:spacing w:line="276" w:lineRule="auto"/>
              <w:jc w:val="both"/>
              <w:rPr>
                <w:rFonts w:ascii="Times New Roman" w:hAnsi="Times New Roman"/>
                <w:szCs w:val="22"/>
                <w:lang w:val="en-GB" w:eastAsia="en-US"/>
              </w:rPr>
            </w:pP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94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6C6C9C">
        <w:trPr>
          <w:trHeight w:val="300"/>
        </w:trPr>
        <w:tc>
          <w:tcPr>
            <w:tcW w:w="250" w:type="pct"/>
            <w:tcBorders>
              <w:top w:val="nil"/>
              <w:left w:val="single" w:sz="4" w:space="0" w:color="auto"/>
              <w:bottom w:val="single" w:sz="4" w:space="0" w:color="auto"/>
              <w:right w:val="single" w:sz="4" w:space="0" w:color="auto"/>
            </w:tcBorders>
            <w:shd w:val="clear" w:color="auto" w:fill="D9D9D9"/>
            <w:vAlign w:val="center"/>
          </w:tcPr>
          <w:p w:rsidR="006C6C9C" w:rsidRPr="006C6C9C" w:rsidRDefault="006C6C9C" w:rsidP="006C6C9C">
            <w:pPr>
              <w:spacing w:line="276" w:lineRule="auto"/>
              <w:jc w:val="both"/>
              <w:rPr>
                <w:rFonts w:ascii="Times New Roman" w:hAnsi="Times New Roman"/>
                <w:b/>
                <w:bCs/>
                <w:szCs w:val="22"/>
                <w:lang w:val="en-GB" w:eastAsia="en-US"/>
              </w:rPr>
            </w:pPr>
          </w:p>
        </w:tc>
        <w:tc>
          <w:tcPr>
            <w:tcW w:w="1015" w:type="pct"/>
            <w:tcBorders>
              <w:top w:val="nil"/>
              <w:left w:val="single" w:sz="4" w:space="0" w:color="auto"/>
              <w:bottom w:val="single" w:sz="4" w:space="0" w:color="auto"/>
              <w:right w:val="single" w:sz="4"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Total</w:t>
            </w:r>
          </w:p>
        </w:tc>
        <w:tc>
          <w:tcPr>
            <w:tcW w:w="2298" w:type="pct"/>
            <w:gridSpan w:val="3"/>
            <w:tcBorders>
              <w:top w:val="single" w:sz="4" w:space="0" w:color="auto"/>
              <w:left w:val="nil"/>
              <w:bottom w:val="single" w:sz="4" w:space="0" w:color="auto"/>
              <w:right w:val="single" w:sz="4" w:space="0" w:color="000000"/>
            </w:tcBorders>
            <w:shd w:val="clear" w:color="auto" w:fill="D9D9D9"/>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D9D9D9"/>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D9D9D9"/>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E00394">
        <w:trPr>
          <w:trHeight w:val="6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2</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Other costs</w:t>
            </w:r>
          </w:p>
        </w:tc>
        <w:tc>
          <w:tcPr>
            <w:tcW w:w="94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2.1</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szCs w:val="22"/>
                <w:lang w:val="en-GB" w:eastAsia="en-US"/>
              </w:rPr>
            </w:pPr>
          </w:p>
        </w:tc>
        <w:tc>
          <w:tcPr>
            <w:tcW w:w="94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2.2</w:t>
            </w:r>
          </w:p>
        </w:tc>
        <w:tc>
          <w:tcPr>
            <w:tcW w:w="1015" w:type="pct"/>
            <w:tcBorders>
              <w:top w:val="nil"/>
              <w:left w:val="single" w:sz="4" w:space="0" w:color="auto"/>
              <w:bottom w:val="single" w:sz="4" w:space="0" w:color="auto"/>
              <w:right w:val="single" w:sz="4" w:space="0" w:color="auto"/>
            </w:tcBorders>
            <w:shd w:val="clear" w:color="auto" w:fill="auto"/>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 ...</w:t>
            </w:r>
          </w:p>
        </w:tc>
        <w:tc>
          <w:tcPr>
            <w:tcW w:w="94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82"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5"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auto"/>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6C6C9C">
        <w:trPr>
          <w:trHeight w:val="300"/>
        </w:trPr>
        <w:tc>
          <w:tcPr>
            <w:tcW w:w="250" w:type="pct"/>
            <w:tcBorders>
              <w:top w:val="nil"/>
              <w:left w:val="single" w:sz="4" w:space="0" w:color="auto"/>
              <w:bottom w:val="single" w:sz="4" w:space="0" w:color="auto"/>
              <w:right w:val="single" w:sz="4" w:space="0" w:color="auto"/>
            </w:tcBorders>
            <w:shd w:val="clear" w:color="auto" w:fill="D9D9D9"/>
            <w:vAlign w:val="center"/>
          </w:tcPr>
          <w:p w:rsidR="006C6C9C" w:rsidRPr="006C6C9C" w:rsidRDefault="006C6C9C" w:rsidP="006C6C9C">
            <w:pPr>
              <w:spacing w:line="276" w:lineRule="auto"/>
              <w:jc w:val="both"/>
              <w:rPr>
                <w:rFonts w:ascii="Times New Roman" w:hAnsi="Times New Roman"/>
                <w:b/>
                <w:bCs/>
                <w:szCs w:val="22"/>
                <w:lang w:val="en-GB" w:eastAsia="en-US"/>
              </w:rPr>
            </w:pPr>
          </w:p>
        </w:tc>
        <w:tc>
          <w:tcPr>
            <w:tcW w:w="1015" w:type="pct"/>
            <w:tcBorders>
              <w:top w:val="nil"/>
              <w:left w:val="single" w:sz="4" w:space="0" w:color="auto"/>
              <w:bottom w:val="single" w:sz="4" w:space="0" w:color="auto"/>
              <w:right w:val="single" w:sz="4" w:space="0" w:color="auto"/>
            </w:tcBorders>
            <w:shd w:val="clear" w:color="auto" w:fill="D9D9D9"/>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Total</w:t>
            </w:r>
          </w:p>
        </w:tc>
        <w:tc>
          <w:tcPr>
            <w:tcW w:w="2298" w:type="pct"/>
            <w:gridSpan w:val="3"/>
            <w:tcBorders>
              <w:top w:val="single" w:sz="4" w:space="0" w:color="auto"/>
              <w:left w:val="nil"/>
              <w:bottom w:val="single" w:sz="4" w:space="0" w:color="auto"/>
              <w:right w:val="single" w:sz="4" w:space="0" w:color="000000"/>
            </w:tcBorders>
            <w:shd w:val="clear" w:color="auto" w:fill="D9D9D9"/>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D9D9D9"/>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674" w:type="pct"/>
            <w:tcBorders>
              <w:top w:val="nil"/>
              <w:left w:val="nil"/>
              <w:bottom w:val="single" w:sz="4" w:space="0" w:color="auto"/>
              <w:right w:val="single" w:sz="4" w:space="0" w:color="auto"/>
            </w:tcBorders>
            <w:shd w:val="clear" w:color="auto" w:fill="D9D9D9"/>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E00394">
        <w:trPr>
          <w:trHeight w:val="300"/>
        </w:trPr>
        <w:tc>
          <w:tcPr>
            <w:tcW w:w="250" w:type="pct"/>
            <w:tcBorders>
              <w:top w:val="nil"/>
              <w:left w:val="single" w:sz="4" w:space="0" w:color="auto"/>
              <w:bottom w:val="single" w:sz="4" w:space="0" w:color="auto"/>
              <w:right w:val="single" w:sz="4" w:space="0" w:color="auto"/>
            </w:tcBorders>
            <w:vAlign w:val="center"/>
          </w:tcPr>
          <w:p w:rsidR="006C6C9C" w:rsidRPr="006C6C9C" w:rsidRDefault="006C6C9C" w:rsidP="006C6C9C">
            <w:pPr>
              <w:spacing w:line="276" w:lineRule="auto"/>
              <w:jc w:val="both"/>
              <w:rPr>
                <w:rFonts w:ascii="Times New Roman" w:hAnsi="Times New Roman"/>
                <w:szCs w:val="22"/>
                <w:lang w:val="en-GB" w:eastAsia="en-US"/>
              </w:rPr>
            </w:pPr>
          </w:p>
        </w:tc>
        <w:tc>
          <w:tcPr>
            <w:tcW w:w="4750" w:type="pct"/>
            <w:gridSpan w:val="6"/>
            <w:tcBorders>
              <w:top w:val="nil"/>
              <w:left w:val="single" w:sz="4" w:space="0" w:color="auto"/>
              <w:bottom w:val="single" w:sz="4" w:space="0" w:color="auto"/>
              <w:right w:val="single" w:sz="4" w:space="0" w:color="auto"/>
            </w:tcBorders>
            <w:shd w:val="clear" w:color="auto" w:fill="auto"/>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r w:rsidR="006C6C9C" w:rsidRPr="006C6C9C" w:rsidTr="006C6C9C">
        <w:trPr>
          <w:trHeight w:val="455"/>
        </w:trPr>
        <w:tc>
          <w:tcPr>
            <w:tcW w:w="250" w:type="pct"/>
            <w:tcBorders>
              <w:top w:val="nil"/>
              <w:left w:val="single" w:sz="4" w:space="0" w:color="auto"/>
              <w:bottom w:val="single" w:sz="4" w:space="0" w:color="auto"/>
              <w:right w:val="single" w:sz="4" w:space="0" w:color="auto"/>
            </w:tcBorders>
            <w:shd w:val="clear" w:color="auto" w:fill="F4B083"/>
          </w:tcPr>
          <w:p w:rsidR="006C6C9C" w:rsidRPr="006C6C9C" w:rsidRDefault="006C6C9C" w:rsidP="006C6C9C">
            <w:pPr>
              <w:spacing w:line="276" w:lineRule="auto"/>
              <w:jc w:val="both"/>
              <w:rPr>
                <w:rFonts w:ascii="Times New Roman" w:hAnsi="Times New Roman"/>
                <w:b/>
                <w:bCs/>
                <w:szCs w:val="22"/>
                <w:lang w:val="en-GB" w:eastAsia="en-US"/>
              </w:rPr>
            </w:pPr>
          </w:p>
        </w:tc>
        <w:tc>
          <w:tcPr>
            <w:tcW w:w="1015" w:type="pct"/>
            <w:tcBorders>
              <w:top w:val="nil"/>
              <w:left w:val="single" w:sz="4" w:space="0" w:color="auto"/>
              <w:bottom w:val="single" w:sz="4" w:space="0" w:color="auto"/>
              <w:right w:val="single" w:sz="4" w:space="0" w:color="auto"/>
            </w:tcBorders>
            <w:shd w:val="clear" w:color="auto" w:fill="F4B083"/>
            <w:vAlign w:val="center"/>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eastAsia="Sylfaen" w:hAnsi="Times New Roman"/>
                <w:b/>
                <w:bCs/>
                <w:szCs w:val="22"/>
                <w:bdr w:val="nil"/>
                <w:lang w:val="en-GB" w:eastAsia="en-US"/>
              </w:rPr>
              <w:t>Grand total</w:t>
            </w:r>
          </w:p>
        </w:tc>
        <w:tc>
          <w:tcPr>
            <w:tcW w:w="2298" w:type="pct"/>
            <w:gridSpan w:val="3"/>
            <w:tcBorders>
              <w:top w:val="single" w:sz="4" w:space="0" w:color="auto"/>
              <w:left w:val="nil"/>
              <w:bottom w:val="single" w:sz="4" w:space="0" w:color="auto"/>
              <w:right w:val="single" w:sz="4" w:space="0" w:color="000000"/>
            </w:tcBorders>
            <w:shd w:val="clear" w:color="auto" w:fill="F4B083"/>
            <w:noWrap/>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c>
          <w:tcPr>
            <w:tcW w:w="763" w:type="pct"/>
            <w:tcBorders>
              <w:top w:val="nil"/>
              <w:left w:val="nil"/>
              <w:bottom w:val="single" w:sz="4" w:space="0" w:color="auto"/>
              <w:right w:val="single" w:sz="4" w:space="0" w:color="auto"/>
            </w:tcBorders>
            <w:shd w:val="clear" w:color="auto" w:fill="F4B083"/>
            <w:noWrap/>
            <w:vAlign w:val="bottom"/>
            <w:hideMark/>
          </w:tcPr>
          <w:p w:rsidR="006C6C9C" w:rsidRPr="006C6C9C" w:rsidRDefault="006C6C9C" w:rsidP="006C6C9C">
            <w:pPr>
              <w:spacing w:line="276" w:lineRule="auto"/>
              <w:jc w:val="both"/>
              <w:rPr>
                <w:rFonts w:ascii="Times New Roman" w:hAnsi="Times New Roman"/>
                <w:b/>
                <w:bCs/>
                <w:szCs w:val="22"/>
                <w:lang w:val="en-GB" w:eastAsia="en-US"/>
              </w:rPr>
            </w:pPr>
            <w:r w:rsidRPr="006C6C9C">
              <w:rPr>
                <w:rFonts w:ascii="Times New Roman" w:hAnsi="Times New Roman"/>
                <w:b/>
                <w:bCs/>
                <w:szCs w:val="22"/>
                <w:lang w:val="en-GB" w:eastAsia="en-US"/>
              </w:rPr>
              <w:t> </w:t>
            </w:r>
          </w:p>
        </w:tc>
        <w:tc>
          <w:tcPr>
            <w:tcW w:w="674" w:type="pct"/>
            <w:tcBorders>
              <w:top w:val="nil"/>
              <w:left w:val="nil"/>
              <w:bottom w:val="single" w:sz="4" w:space="0" w:color="auto"/>
              <w:right w:val="single" w:sz="4" w:space="0" w:color="auto"/>
            </w:tcBorders>
            <w:shd w:val="clear" w:color="auto" w:fill="F4B083"/>
            <w:vAlign w:val="bottom"/>
            <w:hideMark/>
          </w:tcPr>
          <w:p w:rsidR="006C6C9C" w:rsidRPr="006C6C9C" w:rsidRDefault="006C6C9C" w:rsidP="006C6C9C">
            <w:pPr>
              <w:spacing w:line="276" w:lineRule="auto"/>
              <w:jc w:val="both"/>
              <w:rPr>
                <w:rFonts w:ascii="Times New Roman" w:hAnsi="Times New Roman"/>
                <w:szCs w:val="22"/>
                <w:lang w:val="en-GB" w:eastAsia="en-US"/>
              </w:rPr>
            </w:pPr>
            <w:r w:rsidRPr="006C6C9C">
              <w:rPr>
                <w:rFonts w:ascii="Times New Roman" w:hAnsi="Times New Roman"/>
                <w:szCs w:val="22"/>
                <w:lang w:val="en-GB" w:eastAsia="en-US"/>
              </w:rPr>
              <w:t> </w:t>
            </w:r>
          </w:p>
        </w:tc>
      </w:tr>
    </w:tbl>
    <w:p w:rsidR="003E4D68" w:rsidRDefault="003E4D68" w:rsidP="00F51586">
      <w:pPr>
        <w:spacing w:after="200" w:line="360" w:lineRule="auto"/>
        <w:ind w:right="919"/>
        <w:rPr>
          <w:i/>
          <w:lang w:val="en-US"/>
        </w:rPr>
      </w:pPr>
    </w:p>
    <w:p w:rsidR="002E1B5B" w:rsidRDefault="002E1B5B" w:rsidP="00F51586">
      <w:pPr>
        <w:spacing w:after="200" w:line="360" w:lineRule="auto"/>
        <w:ind w:right="919"/>
        <w:rPr>
          <w:i/>
          <w:lang w:val="en-US"/>
        </w:rPr>
      </w:pPr>
      <w:r w:rsidRPr="002E1B5B">
        <w:rPr>
          <w:i/>
          <w:lang w:val="en-US"/>
        </w:rPr>
        <w:t xml:space="preserve"> </w:t>
      </w:r>
    </w:p>
    <w:p w:rsidR="003E4D68" w:rsidRDefault="003E4D68" w:rsidP="00F51586">
      <w:pPr>
        <w:spacing w:after="200" w:line="360" w:lineRule="auto"/>
        <w:ind w:right="919"/>
        <w:rPr>
          <w:i/>
          <w:lang w:val="en-US"/>
        </w:rPr>
      </w:pPr>
      <w:r w:rsidRPr="003E4D68">
        <w:rPr>
          <w:i/>
          <w:lang w:val="en-US"/>
        </w:rPr>
        <w:t>**indicated fees shall include income tax and pension fund costs.</w:t>
      </w:r>
    </w:p>
    <w:p w:rsidR="00693CB6" w:rsidRPr="003E4D68" w:rsidRDefault="003E4D68" w:rsidP="00F51586">
      <w:pPr>
        <w:spacing w:after="200" w:line="360" w:lineRule="auto"/>
        <w:ind w:right="919"/>
        <w:rPr>
          <w:lang w:val="en-US"/>
        </w:rPr>
      </w:pPr>
      <w:r w:rsidRPr="003E4D68">
        <w:rPr>
          <w:lang w:val="en-US"/>
        </w:rPr>
        <w:t>Budget should not contain the costs that are not relevant for the activities envisaged under the project. Neither ongoing costs of the organization nor any kind of debt will be covered from the budget.</w:t>
      </w:r>
    </w:p>
    <w:sectPr w:rsidR="00693CB6" w:rsidRPr="003E4D6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habat, Akbar GIZ GE" w:date="2020-08-13T10:45:00Z" w:initials="MAGG">
    <w:p w:rsidR="0061480D" w:rsidRDefault="0061480D">
      <w:pPr>
        <w:pStyle w:val="Kommentartext"/>
      </w:pPr>
      <w:r>
        <w:rPr>
          <w:rStyle w:val="Kommentarzeichen"/>
        </w:rPr>
        <w:annotationRef/>
      </w:r>
      <w:r w:rsidRPr="000F63C4">
        <w:t>20.11 möglich?</w:t>
      </w:r>
    </w:p>
  </w:comment>
  <w:comment w:id="1" w:author="Mohabat, Akbar GIZ GE" w:date="2020-08-13T10:45:00Z" w:initials="MAGG">
    <w:p w:rsidR="0061480D" w:rsidRDefault="0061480D">
      <w:pPr>
        <w:pStyle w:val="Kommentartext"/>
      </w:pPr>
      <w:r>
        <w:rPr>
          <w:rStyle w:val="Kommentarzeichen"/>
        </w:rPr>
        <w:annotationRef/>
      </w:r>
      <w:r>
        <w:t xml:space="preserve">Sollten wir nennen.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61E"/>
    <w:multiLevelType w:val="hybridMultilevel"/>
    <w:tmpl w:val="651C7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06679"/>
    <w:multiLevelType w:val="hybridMultilevel"/>
    <w:tmpl w:val="A514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06ED4"/>
    <w:multiLevelType w:val="hybridMultilevel"/>
    <w:tmpl w:val="0B3A0CFC"/>
    <w:lvl w:ilvl="0" w:tplc="2D56C0B2">
      <w:start w:val="1"/>
      <w:numFmt w:val="decimal"/>
      <w:lvlText w:val="%1."/>
      <w:lvlJc w:val="left"/>
      <w:pPr>
        <w:ind w:left="720" w:hanging="360"/>
      </w:pPr>
      <w:rPr>
        <w:rFonts w:ascii="Sylfaen" w:hAnsi="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38DD4608"/>
    <w:multiLevelType w:val="hybridMultilevel"/>
    <w:tmpl w:val="B6DA572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3A42435E"/>
    <w:multiLevelType w:val="hybridMultilevel"/>
    <w:tmpl w:val="842873FA"/>
    <w:lvl w:ilvl="0" w:tplc="0437000F">
      <w:start w:val="1"/>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58C94E4F"/>
    <w:multiLevelType w:val="hybridMultilevel"/>
    <w:tmpl w:val="3C10937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60BD71EC"/>
    <w:multiLevelType w:val="hybridMultilevel"/>
    <w:tmpl w:val="A0766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01430A"/>
    <w:multiLevelType w:val="hybridMultilevel"/>
    <w:tmpl w:val="3976C5C4"/>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bat, Akbar GIZ GE">
    <w15:presenceInfo w15:providerId="AD" w15:userId="S::akbar.mohabat@giz.de::ccbde9dc-4cff-4898-8bf0-b747c8092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B7"/>
    <w:rsid w:val="000743E8"/>
    <w:rsid w:val="000F63C4"/>
    <w:rsid w:val="001A709A"/>
    <w:rsid w:val="001C317A"/>
    <w:rsid w:val="00243158"/>
    <w:rsid w:val="00245F6B"/>
    <w:rsid w:val="002E1B5B"/>
    <w:rsid w:val="00373507"/>
    <w:rsid w:val="003768EB"/>
    <w:rsid w:val="003B322D"/>
    <w:rsid w:val="003E4D68"/>
    <w:rsid w:val="004F342A"/>
    <w:rsid w:val="0056613A"/>
    <w:rsid w:val="00580264"/>
    <w:rsid w:val="005872FC"/>
    <w:rsid w:val="006003B7"/>
    <w:rsid w:val="0061480D"/>
    <w:rsid w:val="006451D1"/>
    <w:rsid w:val="00693CB6"/>
    <w:rsid w:val="006C606E"/>
    <w:rsid w:val="006C6C9C"/>
    <w:rsid w:val="006D0194"/>
    <w:rsid w:val="007176B7"/>
    <w:rsid w:val="00765C24"/>
    <w:rsid w:val="00770A70"/>
    <w:rsid w:val="007D06DC"/>
    <w:rsid w:val="007E16F9"/>
    <w:rsid w:val="008234AF"/>
    <w:rsid w:val="00836888"/>
    <w:rsid w:val="00845CFF"/>
    <w:rsid w:val="00883868"/>
    <w:rsid w:val="008C7AEC"/>
    <w:rsid w:val="00976F10"/>
    <w:rsid w:val="00AA33C6"/>
    <w:rsid w:val="00AE2BF9"/>
    <w:rsid w:val="00B306A3"/>
    <w:rsid w:val="00B83F8F"/>
    <w:rsid w:val="00BB2DB1"/>
    <w:rsid w:val="00C0564C"/>
    <w:rsid w:val="00C17245"/>
    <w:rsid w:val="00C8418B"/>
    <w:rsid w:val="00D50DC3"/>
    <w:rsid w:val="00DD56F2"/>
    <w:rsid w:val="00E0786E"/>
    <w:rsid w:val="00E5654A"/>
    <w:rsid w:val="00E903E6"/>
    <w:rsid w:val="00EA1E19"/>
    <w:rsid w:val="00EC6A88"/>
    <w:rsid w:val="00EE76D5"/>
    <w:rsid w:val="00EF0610"/>
    <w:rsid w:val="00F51586"/>
    <w:rsid w:val="00F62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A22F"/>
  <w15:chartTrackingRefBased/>
  <w15:docId w15:val="{077C91C0-F6FC-49AE-8AF4-4223063B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76B7"/>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7176B7"/>
  </w:style>
  <w:style w:type="paragraph" w:styleId="Listenabsatz">
    <w:name w:val="List Paragraph"/>
    <w:aliases w:val="Akapit z listą BS,Bullets,List Paragraph 1,List_Paragraph,Multilevel para_II,List Paragraph1,References,List Paragraph (numbered (a)),IBL List Paragraph,List Paragraph nowy,Numbered List Paragraph,Aufzählung Spiegelstrich,Dot pt,Bullet 1"/>
    <w:basedOn w:val="Standard"/>
    <w:link w:val="ListenabsatzZchn"/>
    <w:uiPriority w:val="34"/>
    <w:qFormat/>
    <w:rsid w:val="007176B7"/>
    <w:pPr>
      <w:ind w:left="720"/>
      <w:contextualSpacing/>
    </w:pPr>
  </w:style>
  <w:style w:type="character" w:customStyle="1" w:styleId="ListenabsatzZchn">
    <w:name w:val="Listenabsatz Zchn"/>
    <w:aliases w:val="Akapit z listą BS Zchn,Bullets Zchn,List Paragraph 1 Zchn,List_Paragraph Zchn,Multilevel para_II Zchn,List Paragraph1 Zchn,References Zchn,List Paragraph (numbered (a)) Zchn,IBL List Paragraph Zchn,List Paragraph nowy Zchn,Dot pt Zchn"/>
    <w:basedOn w:val="Absatz-Standardschriftart"/>
    <w:link w:val="Listenabsatz"/>
    <w:uiPriority w:val="34"/>
    <w:qFormat/>
    <w:locked/>
    <w:rsid w:val="007176B7"/>
    <w:rPr>
      <w:rFonts w:ascii="Arial" w:eastAsia="Times New Roman" w:hAnsi="Arial" w:cs="Times New Roman"/>
      <w:szCs w:val="20"/>
      <w:lang w:eastAsia="de-DE"/>
    </w:rPr>
  </w:style>
  <w:style w:type="character" w:styleId="Hervorhebung">
    <w:name w:val="Emphasis"/>
    <w:basedOn w:val="Absatz-Standardschriftart"/>
    <w:uiPriority w:val="20"/>
    <w:qFormat/>
    <w:rsid w:val="00765C24"/>
    <w:rPr>
      <w:i/>
      <w:iCs/>
    </w:rPr>
  </w:style>
  <w:style w:type="table" w:styleId="Tabellenraster">
    <w:name w:val="Table Grid"/>
    <w:basedOn w:val="NormaleTabelle"/>
    <w:uiPriority w:val="59"/>
    <w:rsid w:val="006C6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0A70"/>
    <w:rPr>
      <w:sz w:val="16"/>
      <w:szCs w:val="16"/>
    </w:rPr>
  </w:style>
  <w:style w:type="paragraph" w:styleId="Kommentartext">
    <w:name w:val="annotation text"/>
    <w:basedOn w:val="Standard"/>
    <w:link w:val="KommentartextZchn"/>
    <w:uiPriority w:val="99"/>
    <w:semiHidden/>
    <w:unhideWhenUsed/>
    <w:rsid w:val="00770A70"/>
    <w:rPr>
      <w:sz w:val="20"/>
    </w:rPr>
  </w:style>
  <w:style w:type="character" w:customStyle="1" w:styleId="KommentartextZchn">
    <w:name w:val="Kommentartext Zchn"/>
    <w:basedOn w:val="Absatz-Standardschriftart"/>
    <w:link w:val="Kommentartext"/>
    <w:uiPriority w:val="99"/>
    <w:semiHidden/>
    <w:rsid w:val="00770A7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70A70"/>
    <w:rPr>
      <w:b/>
      <w:bCs/>
    </w:rPr>
  </w:style>
  <w:style w:type="character" w:customStyle="1" w:styleId="KommentarthemaZchn">
    <w:name w:val="Kommentarthema Zchn"/>
    <w:basedOn w:val="KommentartextZchn"/>
    <w:link w:val="Kommentarthema"/>
    <w:uiPriority w:val="99"/>
    <w:semiHidden/>
    <w:rsid w:val="00770A7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70A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A7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402">
      <w:bodyDiv w:val="1"/>
      <w:marLeft w:val="0"/>
      <w:marRight w:val="0"/>
      <w:marTop w:val="0"/>
      <w:marBottom w:val="0"/>
      <w:divBdr>
        <w:top w:val="none" w:sz="0" w:space="0" w:color="auto"/>
        <w:left w:val="none" w:sz="0" w:space="0" w:color="auto"/>
        <w:bottom w:val="none" w:sz="0" w:space="0" w:color="auto"/>
        <w:right w:val="none" w:sz="0" w:space="0" w:color="auto"/>
      </w:divBdr>
    </w:div>
    <w:div w:id="821192424">
      <w:bodyDiv w:val="1"/>
      <w:marLeft w:val="0"/>
      <w:marRight w:val="0"/>
      <w:marTop w:val="0"/>
      <w:marBottom w:val="0"/>
      <w:divBdr>
        <w:top w:val="none" w:sz="0" w:space="0" w:color="auto"/>
        <w:left w:val="none" w:sz="0" w:space="0" w:color="auto"/>
        <w:bottom w:val="none" w:sz="0" w:space="0" w:color="auto"/>
        <w:right w:val="none" w:sz="0" w:space="0" w:color="auto"/>
      </w:divBdr>
    </w:div>
    <w:div w:id="881863091">
      <w:bodyDiv w:val="1"/>
      <w:marLeft w:val="0"/>
      <w:marRight w:val="0"/>
      <w:marTop w:val="0"/>
      <w:marBottom w:val="0"/>
      <w:divBdr>
        <w:top w:val="none" w:sz="0" w:space="0" w:color="auto"/>
        <w:left w:val="none" w:sz="0" w:space="0" w:color="auto"/>
        <w:bottom w:val="none" w:sz="0" w:space="0" w:color="auto"/>
        <w:right w:val="none" w:sz="0" w:space="0" w:color="auto"/>
      </w:divBdr>
    </w:div>
    <w:div w:id="16580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6084-4B6D-4CD6-B2DC-256F76CB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10909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Gureshidze</dc:creator>
  <cp:keywords/>
  <dc:description/>
  <cp:lastModifiedBy>Tamar Gureshidze</cp:lastModifiedBy>
  <cp:revision>4</cp:revision>
  <dcterms:created xsi:type="dcterms:W3CDTF">2020-08-13T10:05:00Z</dcterms:created>
  <dcterms:modified xsi:type="dcterms:W3CDTF">2020-08-13T13:08:00Z</dcterms:modified>
</cp:coreProperties>
</file>